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000000"/>
          <w:sz w:val="44"/>
          <w:szCs w:val="44"/>
        </w:rPr>
      </w:pPr>
      <w:r>
        <w:rPr>
          <w:rFonts w:hint="eastAsia" w:ascii="宋体" w:hAnsi="宋体" w:eastAsia="宋体" w:cs="宋体"/>
          <w:b/>
          <w:bCs/>
          <w:color w:val="000000"/>
          <w:sz w:val="44"/>
          <w:szCs w:val="44"/>
        </w:rPr>
        <w:t>武汉市水务发展“十四五”规划</w:t>
      </w:r>
    </w:p>
    <w:p>
      <w:pPr>
        <w:pageBreakBefore w:val="0"/>
        <w:kinsoku/>
        <w:wordWrap/>
        <w:overflowPunct/>
        <w:topLinePunct w:val="0"/>
        <w:autoSpaceDE/>
        <w:autoSpaceDN/>
        <w:bidi w:val="0"/>
        <w:adjustRightInd/>
        <w:snapToGrid/>
        <w:spacing w:line="540" w:lineRule="exact"/>
        <w:jc w:val="center"/>
        <w:textAlignment w:val="auto"/>
        <w:rPr>
          <w:rFonts w:ascii="Times New Roman" w:hAnsi="Times New Roman" w:eastAsia="微软雅黑" w:cs="Times New Roman"/>
          <w:color w:val="000000"/>
          <w:sz w:val="32"/>
          <w:szCs w:val="32"/>
        </w:rPr>
      </w:pPr>
      <w:r>
        <w:rPr>
          <w:rFonts w:ascii="Times New Roman" w:hAnsi="Times New Roman" w:eastAsia="微软雅黑" w:cs="Times New Roman"/>
          <w:color w:val="000000"/>
          <w:sz w:val="32"/>
          <w:szCs w:val="32"/>
        </w:rPr>
        <w:t>（2021-2025年）</w:t>
      </w:r>
    </w:p>
    <w:p>
      <w:pPr>
        <w:pageBreakBefore w:val="0"/>
        <w:kinsoku/>
        <w:wordWrap/>
        <w:overflowPunct/>
        <w:topLinePunct w:val="0"/>
        <w:autoSpaceDE/>
        <w:autoSpaceDN/>
        <w:bidi w:val="0"/>
        <w:adjustRightInd/>
        <w:snapToGrid/>
        <w:spacing w:line="540" w:lineRule="exact"/>
        <w:jc w:val="center"/>
        <w:textAlignment w:val="auto"/>
        <w:rPr>
          <w:rFonts w:ascii="Times New Roman" w:hAnsi="Times New Roman" w:eastAsia="微软雅黑" w:cs="Times New Roman"/>
          <w:color w:val="000000"/>
          <w:sz w:val="32"/>
          <w:szCs w:val="32"/>
        </w:rPr>
      </w:pPr>
    </w:p>
    <w:p>
      <w:pPr>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s="Times New Roman"/>
          <w:snapToGrid w:val="0"/>
          <w:color w:val="000000" w:themeColor="text1"/>
          <w:kern w:val="0"/>
          <w:sz w:val="32"/>
          <w:szCs w:val="32"/>
          <w14:textFill>
            <w14:solidFill>
              <w14:schemeClr w14:val="tx1"/>
            </w14:solidFill>
          </w14:textFill>
        </w:rPr>
      </w:pPr>
      <w:r>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t>“十四五”时期是我国全面建成小康社会、实现第一个百年奋斗目标之后，乘势而上开启全面建设社会主义现代化国家新征程、向第二个百年奋斗目标进军的第一个五年，武汉市将认真贯彻落实十九届五中全会精神，以《中华人民共和国国民经济和社会发展第十四个五年规划和2035年远景目标纲要》为指导，加速迈向国家中心城市、长江经济带核心城市</w:t>
      </w:r>
      <w:r>
        <w:rPr>
          <w:rFonts w:ascii="Times New Roman" w:hAnsi="Times New Roman" w:eastAsia="仿宋_GB2312" w:cs="Times New Roman"/>
          <w:snapToGrid w:val="0"/>
          <w:color w:val="000000" w:themeColor="text1"/>
          <w:kern w:val="0"/>
          <w:sz w:val="32"/>
          <w:szCs w:val="32"/>
          <w14:textFill>
            <w14:solidFill>
              <w14:schemeClr w14:val="tx1"/>
            </w14:solidFill>
          </w14:textFill>
        </w:rPr>
        <w:t>和国际化大都市</w:t>
      </w:r>
      <w:r>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t>，打造五个中心，迈上基本实现社会主义现代化的新征程，水务事</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业发展机遇难得、任重道远，必须以科学的规划为指导，充分发挥水务基础性、先导性作用，实现洪涝自然灾害防御水平明显提升，水资源配置更加合理</w:t>
      </w:r>
      <w:r>
        <w:rPr>
          <w:rFonts w:hint="eastAsia" w:ascii="仿宋_GB2312" w:hAnsi="仿宋_GB2312" w:eastAsia="仿宋_GB2312" w:cs="仿宋_GB2312"/>
          <w:snapToGrid w:val="0"/>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利用效率大幅提高，水生态环境持续改善，水生态安全屏障更加牢固，水务治理效能得到新提升，为</w:t>
      </w:r>
      <w:r>
        <w:rPr>
          <w:rFonts w:ascii="Times New Roman" w:hAnsi="Times New Roman" w:eastAsia="仿宋_GB2312" w:cs="Times New Roman"/>
          <w:snapToGrid w:val="0"/>
          <w:color w:val="000000" w:themeColor="text1"/>
          <w:kern w:val="0"/>
          <w:sz w:val="32"/>
          <w:szCs w:val="32"/>
          <w14:textFill>
            <w14:solidFill>
              <w14:schemeClr w14:val="tx1"/>
            </w14:solidFill>
          </w14:textFill>
        </w:rPr>
        <w:t>2035年形成幸福河湖现代水网打好基础。</w:t>
      </w:r>
    </w:p>
    <w:p>
      <w:pPr>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s="Times New Roman"/>
          <w:snapToGrid w:val="0"/>
          <w:color w:val="000000" w:themeColor="text1"/>
          <w:kern w:val="0"/>
          <w:sz w:val="32"/>
          <w:szCs w:val="32"/>
          <w14:textFill>
            <w14:solidFill>
              <w14:schemeClr w14:val="tx1"/>
            </w14:solidFill>
          </w14:textFill>
        </w:rPr>
      </w:pPr>
      <w:r>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t>按照国家、省、市“十四五”规划编制的总体部署，市水务局早谋划、早动手，于</w:t>
      </w:r>
      <w:r>
        <w:rPr>
          <w:rFonts w:ascii="Times New Roman" w:hAnsi="Times New Roman" w:eastAsia="仿宋_GB2312" w:cs="Times New Roman"/>
          <w:snapToGrid w:val="0"/>
          <w:color w:val="000000" w:themeColor="text1"/>
          <w:kern w:val="0"/>
          <w:sz w:val="32"/>
          <w:szCs w:val="32"/>
          <w14:textFill>
            <w14:solidFill>
              <w14:schemeClr w14:val="tx1"/>
            </w14:solidFill>
          </w14:textFill>
        </w:rPr>
        <w:t>2019年7月开始了规划重大课题研究，2019年10月全面启动了水务发展“十四五”规划思路报告编制工作，2020年8月结合防疫及防汛补短板的要求，确定了规划重大项目库，2021年2月形成了《武汉市水务发展“十四五”规划报告（送审稿）》(以下简称《规划》)。</w:t>
      </w:r>
      <w:r>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t>《规划》充分对接省水利厅、省住建厅、省环保厅“十四五”规划相关内容，广泛征求市政府相关部门、各区的意见和建议，并组织专家咨询会、专家论证会深入讨论，经多次修改完善，形成规划报告。</w:t>
      </w:r>
    </w:p>
    <w:p>
      <w:pPr>
        <w:pStyle w:val="2"/>
        <w:pageBreakBefore w:val="0"/>
        <w:numPr>
          <w:ilvl w:val="0"/>
          <w:numId w:val="0"/>
        </w:numPr>
        <w:kinsoku/>
        <w:wordWrap/>
        <w:overflowPunct/>
        <w:topLinePunct w:val="0"/>
        <w:autoSpaceDE/>
        <w:autoSpaceDN/>
        <w:bidi w:val="0"/>
        <w:adjustRightInd/>
        <w:snapToGrid/>
        <w:spacing w:line="540" w:lineRule="exact"/>
        <w:ind w:leftChars="0" w:firstLine="643" w:firstLineChars="200"/>
        <w:textAlignment w:val="auto"/>
        <w:rPr>
          <w:rFonts w:hint="eastAsia" w:ascii="黑体" w:hAnsi="黑体" w:eastAsia="黑体" w:cs="黑体"/>
          <w:snapToGrid w:val="0"/>
          <w:sz w:val="32"/>
          <w:szCs w:val="32"/>
        </w:rPr>
      </w:pPr>
      <w:bookmarkStart w:id="0" w:name="_Toc77952563"/>
      <w:r>
        <w:rPr>
          <w:rFonts w:hint="eastAsia" w:ascii="黑体" w:hAnsi="黑体" w:eastAsia="黑体" w:cs="黑体"/>
          <w:snapToGrid w:val="0"/>
          <w:sz w:val="32"/>
          <w:szCs w:val="32"/>
          <w:lang w:eastAsia="zh-CN"/>
        </w:rPr>
        <w:t>一、</w:t>
      </w:r>
      <w:r>
        <w:rPr>
          <w:rFonts w:hint="eastAsia" w:ascii="黑体" w:hAnsi="黑体" w:eastAsia="黑体" w:cs="黑体"/>
          <w:snapToGrid w:val="0"/>
          <w:sz w:val="32"/>
          <w:szCs w:val="32"/>
        </w:rPr>
        <w:t>规划总体思路</w:t>
      </w:r>
    </w:p>
    <w:p>
      <w:pPr>
        <w:pStyle w:val="3"/>
        <w:pageBreakBefore w:val="0"/>
        <w:numPr>
          <w:ilvl w:val="1"/>
          <w:numId w:val="0"/>
        </w:numPr>
        <w:kinsoku/>
        <w:wordWrap/>
        <w:overflowPunct/>
        <w:topLinePunct w:val="0"/>
        <w:autoSpaceDE/>
        <w:autoSpaceDN/>
        <w:bidi w:val="0"/>
        <w:adjustRightInd/>
        <w:snapToGrid/>
        <w:spacing w:before="312" w:line="540" w:lineRule="exact"/>
        <w:ind w:left="710" w:leftChars="0"/>
        <w:textAlignment w:val="auto"/>
        <w:rPr>
          <w:rFonts w:hint="eastAsia" w:ascii="楷体" w:hAnsi="楷体" w:eastAsia="楷体" w:cs="楷体"/>
          <w:b/>
          <w:bCs w:val="0"/>
          <w:sz w:val="32"/>
          <w:szCs w:val="32"/>
        </w:rPr>
      </w:pPr>
      <w:r>
        <w:rPr>
          <w:rFonts w:hint="eastAsia" w:ascii="楷体" w:hAnsi="楷体" w:eastAsia="楷体" w:cs="楷体"/>
          <w:b/>
          <w:bCs w:val="0"/>
          <w:sz w:val="32"/>
          <w:szCs w:val="32"/>
          <w:lang w:eastAsia="zh-CN"/>
        </w:rPr>
        <w:t>（一）</w:t>
      </w:r>
      <w:r>
        <w:rPr>
          <w:rFonts w:hint="eastAsia" w:ascii="楷体" w:hAnsi="楷体" w:eastAsia="楷体" w:cs="楷体"/>
          <w:b/>
          <w:bCs w:val="0"/>
          <w:sz w:val="32"/>
          <w:szCs w:val="32"/>
        </w:rPr>
        <w:t>指导思想</w:t>
      </w:r>
      <w:bookmarkEnd w:id="0"/>
    </w:p>
    <w:p>
      <w:pPr>
        <w:pStyle w:val="4"/>
        <w:pageBreakBefore w:val="0"/>
        <w:kinsoku/>
        <w:wordWrap/>
        <w:overflowPunct/>
        <w:topLinePunct w:val="0"/>
        <w:autoSpaceDE/>
        <w:autoSpaceDN/>
        <w:bidi w:val="0"/>
        <w:adjustRightInd/>
        <w:snapToGrid/>
        <w:spacing w:line="540" w:lineRule="exact"/>
        <w:textAlignment w:val="auto"/>
        <w:rPr>
          <w:sz w:val="32"/>
          <w:szCs w:val="32"/>
        </w:rPr>
      </w:pPr>
      <w:r>
        <w:rPr>
          <w:sz w:val="32"/>
          <w:szCs w:val="32"/>
        </w:rPr>
        <w:t>以习近平新时代中国特色社会主义思想为指导，全面贯彻党的十九大和十九届二中、三中、四中、五中全会精神，深入落实习近平总书记推动长江经济带发展重要战略思想，积极践行“节水优先、空间均衡、系统治理、两手发力”十六字治水思路，把握新发展阶段、落实新发展理念、构建新发展格局，以“共抓大保护、不搞大开发”为导向，以推进水务高质量发展为目标，坚持山水林田湖草生命共同体理念，统筹“防洪水、排涝水、治污水、保供水、促节水、严管水”六大水务保障体系，做到“工程建设、行业管理、社会服务”三者并重，全面打造江湖安澜的安全水务，人水和谐的生态水务，以民为本的民生水务，水城相依的文化水务，依法治理的法治水务，智能高效的智慧水务，为武汉市经济社会高质量发展、高品质生活、高效能治理提供坚实的水务基础保障。</w:t>
      </w:r>
    </w:p>
    <w:p>
      <w:pPr>
        <w:pStyle w:val="3"/>
        <w:pageBreakBefore w:val="0"/>
        <w:numPr>
          <w:ilvl w:val="1"/>
          <w:numId w:val="0"/>
        </w:numPr>
        <w:kinsoku/>
        <w:wordWrap/>
        <w:overflowPunct/>
        <w:topLinePunct w:val="0"/>
        <w:autoSpaceDE/>
        <w:autoSpaceDN/>
        <w:bidi w:val="0"/>
        <w:adjustRightInd/>
        <w:snapToGrid/>
        <w:spacing w:before="312" w:line="540" w:lineRule="exact"/>
        <w:ind w:left="710" w:leftChars="0"/>
        <w:textAlignment w:val="auto"/>
        <w:rPr>
          <w:rFonts w:hint="eastAsia" w:ascii="楷体" w:hAnsi="楷体" w:eastAsia="楷体" w:cs="楷体"/>
          <w:b/>
          <w:bCs w:val="0"/>
          <w:snapToGrid/>
          <w:sz w:val="32"/>
          <w:szCs w:val="32"/>
        </w:rPr>
      </w:pPr>
      <w:bookmarkStart w:id="1" w:name="_Toc77952564"/>
      <w:r>
        <w:rPr>
          <w:rFonts w:hint="eastAsia" w:ascii="楷体" w:hAnsi="楷体" w:eastAsia="楷体" w:cs="楷体"/>
          <w:b/>
          <w:bCs w:val="0"/>
          <w:snapToGrid/>
          <w:sz w:val="32"/>
          <w:szCs w:val="32"/>
          <w:lang w:eastAsia="zh-CN"/>
        </w:rPr>
        <w:t>（二）</w:t>
      </w:r>
      <w:r>
        <w:rPr>
          <w:rFonts w:hint="eastAsia" w:ascii="楷体" w:hAnsi="楷体" w:eastAsia="楷体" w:cs="楷体"/>
          <w:b/>
          <w:bCs w:val="0"/>
          <w:snapToGrid/>
          <w:sz w:val="32"/>
          <w:szCs w:val="32"/>
        </w:rPr>
        <w:t>规划原则</w:t>
      </w:r>
      <w:bookmarkEnd w:id="1"/>
    </w:p>
    <w:p>
      <w:pPr>
        <w:pStyle w:val="4"/>
        <w:pageBreakBefore w:val="0"/>
        <w:kinsoku/>
        <w:wordWrap/>
        <w:overflowPunct/>
        <w:topLinePunct w:val="0"/>
        <w:autoSpaceDE/>
        <w:autoSpaceDN/>
        <w:bidi w:val="0"/>
        <w:adjustRightInd/>
        <w:snapToGrid/>
        <w:spacing w:line="540" w:lineRule="exact"/>
        <w:textAlignment w:val="auto"/>
        <w:rPr>
          <w:sz w:val="32"/>
          <w:szCs w:val="32"/>
        </w:rPr>
      </w:pPr>
      <w:r>
        <w:rPr>
          <w:rFonts w:hint="eastAsia"/>
          <w:sz w:val="32"/>
          <w:szCs w:val="32"/>
          <w:lang w:val="en-US" w:eastAsia="zh-CN"/>
        </w:rPr>
        <w:t>1、</w:t>
      </w:r>
      <w:r>
        <w:rPr>
          <w:sz w:val="32"/>
          <w:szCs w:val="32"/>
        </w:rPr>
        <w:t>节水优先、高效利用</w:t>
      </w:r>
    </w:p>
    <w:p>
      <w:pPr>
        <w:pStyle w:val="4"/>
        <w:pageBreakBefore w:val="0"/>
        <w:kinsoku/>
        <w:wordWrap/>
        <w:overflowPunct/>
        <w:topLinePunct w:val="0"/>
        <w:autoSpaceDE/>
        <w:autoSpaceDN/>
        <w:bidi w:val="0"/>
        <w:adjustRightInd/>
        <w:snapToGrid/>
        <w:spacing w:line="540" w:lineRule="exact"/>
        <w:textAlignment w:val="auto"/>
        <w:rPr>
          <w:sz w:val="32"/>
          <w:szCs w:val="32"/>
        </w:rPr>
      </w:pPr>
      <w:r>
        <w:rPr>
          <w:sz w:val="32"/>
          <w:szCs w:val="32"/>
        </w:rPr>
        <w:t>把节水始终放在优先位置，牢固树立全社会节水观念，把节水贯穿于经济社会发展全过程和各领域，努力提高用水效率和效益，加快实现从粗放用水方式向集约节约用水方式的根本转变。</w:t>
      </w:r>
    </w:p>
    <w:p>
      <w:pPr>
        <w:pStyle w:val="4"/>
        <w:pageBreakBefore w:val="0"/>
        <w:kinsoku/>
        <w:wordWrap/>
        <w:overflowPunct/>
        <w:topLinePunct w:val="0"/>
        <w:autoSpaceDE/>
        <w:autoSpaceDN/>
        <w:bidi w:val="0"/>
        <w:adjustRightInd/>
        <w:snapToGrid/>
        <w:spacing w:line="540" w:lineRule="exact"/>
        <w:textAlignment w:val="auto"/>
        <w:rPr>
          <w:sz w:val="32"/>
          <w:szCs w:val="32"/>
        </w:rPr>
      </w:pPr>
      <w:r>
        <w:rPr>
          <w:rFonts w:hint="eastAsia"/>
          <w:sz w:val="32"/>
          <w:szCs w:val="32"/>
          <w:lang w:val="en-US" w:eastAsia="zh-CN"/>
        </w:rPr>
        <w:t>2、</w:t>
      </w:r>
      <w:r>
        <w:rPr>
          <w:sz w:val="32"/>
          <w:szCs w:val="32"/>
        </w:rPr>
        <w:t>以人为本、服务民生</w:t>
      </w:r>
    </w:p>
    <w:p>
      <w:pPr>
        <w:pStyle w:val="4"/>
        <w:pageBreakBefore w:val="0"/>
        <w:kinsoku/>
        <w:wordWrap/>
        <w:overflowPunct/>
        <w:topLinePunct w:val="0"/>
        <w:autoSpaceDE/>
        <w:autoSpaceDN/>
        <w:bidi w:val="0"/>
        <w:adjustRightInd/>
        <w:snapToGrid/>
        <w:spacing w:line="540" w:lineRule="exact"/>
        <w:textAlignment w:val="auto"/>
        <w:rPr>
          <w:sz w:val="32"/>
          <w:szCs w:val="32"/>
        </w:rPr>
      </w:pPr>
      <w:r>
        <w:rPr>
          <w:sz w:val="32"/>
          <w:szCs w:val="32"/>
        </w:rPr>
        <w:t>坚持树立以人民为中心的发展思想，顺应人民群众对美好生活的向往，加快解决人民群众最关心、最直接、最现实利益的水问题，不断提升水务基础设施服务水平，让水安全保障成果更多更好地惠及全体人民。</w:t>
      </w:r>
    </w:p>
    <w:p>
      <w:pPr>
        <w:pStyle w:val="4"/>
        <w:pageBreakBefore w:val="0"/>
        <w:kinsoku/>
        <w:wordWrap/>
        <w:overflowPunct/>
        <w:topLinePunct w:val="0"/>
        <w:autoSpaceDE/>
        <w:autoSpaceDN/>
        <w:bidi w:val="0"/>
        <w:adjustRightInd/>
        <w:snapToGrid/>
        <w:spacing w:line="540" w:lineRule="exact"/>
        <w:textAlignment w:val="auto"/>
        <w:rPr>
          <w:sz w:val="32"/>
          <w:szCs w:val="32"/>
        </w:rPr>
      </w:pPr>
      <w:r>
        <w:rPr>
          <w:rFonts w:hint="eastAsia"/>
          <w:sz w:val="32"/>
          <w:szCs w:val="32"/>
          <w:lang w:val="en-US" w:eastAsia="zh-CN"/>
        </w:rPr>
        <w:t>3、</w:t>
      </w:r>
      <w:r>
        <w:rPr>
          <w:sz w:val="32"/>
          <w:szCs w:val="32"/>
        </w:rPr>
        <w:t>人水和谐、绿色发展</w:t>
      </w:r>
    </w:p>
    <w:p>
      <w:pPr>
        <w:pStyle w:val="4"/>
        <w:pageBreakBefore w:val="0"/>
        <w:kinsoku/>
        <w:wordWrap/>
        <w:overflowPunct/>
        <w:topLinePunct w:val="0"/>
        <w:autoSpaceDE/>
        <w:autoSpaceDN/>
        <w:bidi w:val="0"/>
        <w:adjustRightInd/>
        <w:snapToGrid/>
        <w:spacing w:line="540" w:lineRule="exact"/>
        <w:textAlignment w:val="auto"/>
        <w:rPr>
          <w:sz w:val="32"/>
          <w:szCs w:val="32"/>
        </w:rPr>
      </w:pPr>
      <w:r>
        <w:rPr>
          <w:sz w:val="32"/>
          <w:szCs w:val="32"/>
        </w:rPr>
        <w:t>牢固树立尊重自然、顺应自然、保护自然，人与自然和谐相处的生态文明理念，贯彻落实绿色发展理念，着力解决人水矛盾突出问题，坚持</w:t>
      </w:r>
      <w:bookmarkStart w:id="2" w:name="_Hlk44499921"/>
      <w:r>
        <w:rPr>
          <w:sz w:val="32"/>
          <w:szCs w:val="32"/>
        </w:rPr>
        <w:t>以水定城、以水定人、以水定产</w:t>
      </w:r>
      <w:bookmarkEnd w:id="2"/>
      <w:r>
        <w:rPr>
          <w:sz w:val="32"/>
          <w:szCs w:val="32"/>
        </w:rPr>
        <w:t>，促进武汉发展方式转变、产业转型升级和经济社会的可持续发展。</w:t>
      </w:r>
    </w:p>
    <w:p>
      <w:pPr>
        <w:pStyle w:val="4"/>
        <w:pageBreakBefore w:val="0"/>
        <w:kinsoku/>
        <w:wordWrap/>
        <w:overflowPunct/>
        <w:topLinePunct w:val="0"/>
        <w:autoSpaceDE/>
        <w:autoSpaceDN/>
        <w:bidi w:val="0"/>
        <w:adjustRightInd/>
        <w:snapToGrid/>
        <w:spacing w:line="540" w:lineRule="exact"/>
        <w:textAlignment w:val="auto"/>
        <w:rPr>
          <w:sz w:val="32"/>
          <w:szCs w:val="32"/>
        </w:rPr>
      </w:pPr>
      <w:r>
        <w:rPr>
          <w:rFonts w:hint="eastAsia"/>
          <w:sz w:val="32"/>
          <w:szCs w:val="32"/>
          <w:lang w:val="en-US" w:eastAsia="zh-CN"/>
        </w:rPr>
        <w:t>4、</w:t>
      </w:r>
      <w:r>
        <w:rPr>
          <w:sz w:val="32"/>
          <w:szCs w:val="32"/>
        </w:rPr>
        <w:t>统筹兼顾</w:t>
      </w:r>
      <w:r>
        <w:rPr>
          <w:rFonts w:hint="eastAsia"/>
          <w:sz w:val="32"/>
          <w:szCs w:val="32"/>
          <w:lang w:eastAsia="zh-CN"/>
        </w:rPr>
        <w:t>、</w:t>
      </w:r>
      <w:r>
        <w:rPr>
          <w:sz w:val="32"/>
          <w:szCs w:val="32"/>
        </w:rPr>
        <w:t>系统治理</w:t>
      </w:r>
    </w:p>
    <w:p>
      <w:pPr>
        <w:pStyle w:val="4"/>
        <w:pageBreakBefore w:val="0"/>
        <w:kinsoku/>
        <w:wordWrap/>
        <w:overflowPunct/>
        <w:topLinePunct w:val="0"/>
        <w:autoSpaceDE/>
        <w:autoSpaceDN/>
        <w:bidi w:val="0"/>
        <w:adjustRightInd/>
        <w:snapToGrid/>
        <w:spacing w:line="540" w:lineRule="exact"/>
        <w:textAlignment w:val="auto"/>
        <w:rPr>
          <w:sz w:val="32"/>
          <w:szCs w:val="32"/>
        </w:rPr>
      </w:pPr>
      <w:r>
        <w:rPr>
          <w:sz w:val="32"/>
          <w:szCs w:val="32"/>
        </w:rPr>
        <w:t>坚持“山水林田湖草”一体化综合治理，突出全流域、全系统、全要素、全过程管控，围绕“四水共治”，以河湖长制为抓手，统筹上下游、左右岸、地表地下、城市乡村、工程措施与非工程措施，系统解决水安全、水资源、水生态、水环境和水管理方面的重大问题。</w:t>
      </w:r>
    </w:p>
    <w:p>
      <w:pPr>
        <w:pStyle w:val="4"/>
        <w:pageBreakBefore w:val="0"/>
        <w:numPr>
          <w:ilvl w:val="0"/>
          <w:numId w:val="0"/>
        </w:numPr>
        <w:kinsoku/>
        <w:wordWrap/>
        <w:overflowPunct/>
        <w:topLinePunct w:val="0"/>
        <w:autoSpaceDE/>
        <w:autoSpaceDN/>
        <w:bidi w:val="0"/>
        <w:adjustRightInd/>
        <w:snapToGrid/>
        <w:spacing w:line="540" w:lineRule="exact"/>
        <w:ind w:left="560" w:leftChars="0"/>
        <w:textAlignment w:val="auto"/>
        <w:rPr>
          <w:sz w:val="32"/>
          <w:szCs w:val="32"/>
        </w:rPr>
      </w:pPr>
      <w:r>
        <w:rPr>
          <w:rFonts w:hint="eastAsia"/>
          <w:sz w:val="32"/>
          <w:szCs w:val="32"/>
          <w:lang w:val="en-US" w:eastAsia="zh-CN"/>
        </w:rPr>
        <w:t>5、</w:t>
      </w:r>
      <w:r>
        <w:rPr>
          <w:sz w:val="32"/>
          <w:szCs w:val="32"/>
        </w:rPr>
        <w:t>改革创新、两手发力</w:t>
      </w:r>
    </w:p>
    <w:p>
      <w:pPr>
        <w:pStyle w:val="4"/>
        <w:pageBreakBefore w:val="0"/>
        <w:kinsoku/>
        <w:wordWrap/>
        <w:overflowPunct/>
        <w:topLinePunct w:val="0"/>
        <w:autoSpaceDE/>
        <w:autoSpaceDN/>
        <w:bidi w:val="0"/>
        <w:adjustRightInd/>
        <w:snapToGrid/>
        <w:spacing w:line="540" w:lineRule="exact"/>
        <w:textAlignment w:val="auto"/>
        <w:rPr>
          <w:sz w:val="32"/>
          <w:szCs w:val="32"/>
        </w:rPr>
      </w:pPr>
      <w:r>
        <w:rPr>
          <w:sz w:val="32"/>
          <w:szCs w:val="32"/>
        </w:rPr>
        <w:t>深化水管理体制机制创新，在强化政府作用的同时，更加注重发挥运用市场机制。加强重点领域和关键环节的制度改革攻坚，以制度创新和科技创新为驱动，建立健全公众参与机制，形成全民治水、共建共享的良好局面。</w:t>
      </w:r>
      <w:bookmarkStart w:id="3" w:name="_Toc77952565"/>
    </w:p>
    <w:p>
      <w:pPr>
        <w:pStyle w:val="3"/>
        <w:pageBreakBefore w:val="0"/>
        <w:numPr>
          <w:ilvl w:val="1"/>
          <w:numId w:val="0"/>
        </w:numPr>
        <w:kinsoku/>
        <w:wordWrap/>
        <w:overflowPunct/>
        <w:topLinePunct w:val="0"/>
        <w:autoSpaceDE/>
        <w:autoSpaceDN/>
        <w:bidi w:val="0"/>
        <w:adjustRightInd/>
        <w:snapToGrid/>
        <w:spacing w:before="312" w:line="540" w:lineRule="exact"/>
        <w:ind w:left="710" w:leftChars="0"/>
        <w:textAlignment w:val="auto"/>
        <w:rPr>
          <w:rFonts w:hint="eastAsia" w:ascii="楷体" w:hAnsi="楷体" w:eastAsia="楷体" w:cs="楷体"/>
          <w:b/>
          <w:bCs w:val="0"/>
          <w:sz w:val="32"/>
          <w:szCs w:val="32"/>
        </w:rPr>
      </w:pPr>
      <w:r>
        <w:rPr>
          <w:rFonts w:hint="eastAsia" w:ascii="楷体" w:hAnsi="楷体" w:eastAsia="楷体" w:cs="楷体"/>
          <w:b/>
          <w:bCs w:val="0"/>
          <w:sz w:val="32"/>
          <w:szCs w:val="32"/>
          <w:lang w:eastAsia="zh-CN"/>
        </w:rPr>
        <w:t>（三）</w:t>
      </w:r>
      <w:r>
        <w:rPr>
          <w:rFonts w:hint="eastAsia" w:ascii="楷体" w:hAnsi="楷体" w:eastAsia="楷体" w:cs="楷体"/>
          <w:b/>
          <w:bCs w:val="0"/>
          <w:sz w:val="32"/>
          <w:szCs w:val="32"/>
        </w:rPr>
        <w:t>规划目标</w:t>
      </w:r>
      <w:bookmarkEnd w:id="3"/>
    </w:p>
    <w:p>
      <w:pPr>
        <w:pStyle w:val="4"/>
        <w:pageBreakBefore w:val="0"/>
        <w:kinsoku/>
        <w:wordWrap/>
        <w:overflowPunct/>
        <w:topLinePunct w:val="0"/>
        <w:autoSpaceDE/>
        <w:autoSpaceDN/>
        <w:bidi w:val="0"/>
        <w:adjustRightInd/>
        <w:snapToGrid/>
        <w:spacing w:line="540" w:lineRule="exact"/>
        <w:textAlignment w:val="auto"/>
        <w:rPr>
          <w:sz w:val="32"/>
          <w:szCs w:val="32"/>
        </w:rPr>
      </w:pPr>
      <w:r>
        <w:rPr>
          <w:rFonts w:hint="eastAsia"/>
          <w:sz w:val="32"/>
          <w:szCs w:val="32"/>
          <w:lang w:val="en-US" w:eastAsia="zh-CN"/>
        </w:rPr>
        <w:t>1、</w:t>
      </w:r>
      <w:r>
        <w:rPr>
          <w:sz w:val="32"/>
          <w:szCs w:val="32"/>
        </w:rPr>
        <w:t>2035年远景目标</w:t>
      </w:r>
    </w:p>
    <w:p>
      <w:pPr>
        <w:pStyle w:val="4"/>
        <w:pageBreakBefore w:val="0"/>
        <w:kinsoku/>
        <w:wordWrap/>
        <w:overflowPunct/>
        <w:topLinePunct w:val="0"/>
        <w:autoSpaceDE/>
        <w:autoSpaceDN/>
        <w:bidi w:val="0"/>
        <w:adjustRightInd/>
        <w:snapToGrid/>
        <w:spacing w:line="540" w:lineRule="exact"/>
        <w:textAlignment w:val="auto"/>
        <w:rPr>
          <w:sz w:val="32"/>
          <w:szCs w:val="32"/>
        </w:rPr>
      </w:pPr>
      <w:r>
        <w:rPr>
          <w:sz w:val="32"/>
          <w:szCs w:val="32"/>
        </w:rPr>
        <w:t>围绕第二个百年奋斗目标，基本建成与经济社会绿色发展要求相适应的“江河安澜、供优排畅、河湖健康”的基础设施保障体系和“科学有序、运行规范、智慧高效”的综合管理体系，到2035年形成幸福河湖现代水网，为武汉市全面建设国家中心城市、长江经济带核心城市、国际化大都市提供水务支撑。</w:t>
      </w:r>
    </w:p>
    <w:p>
      <w:pPr>
        <w:pStyle w:val="4"/>
        <w:pageBreakBefore w:val="0"/>
        <w:kinsoku/>
        <w:wordWrap/>
        <w:overflowPunct/>
        <w:topLinePunct w:val="0"/>
        <w:autoSpaceDE/>
        <w:autoSpaceDN/>
        <w:bidi w:val="0"/>
        <w:adjustRightInd/>
        <w:snapToGrid/>
        <w:spacing w:line="540" w:lineRule="exact"/>
        <w:textAlignment w:val="auto"/>
        <w:rPr>
          <w:sz w:val="32"/>
          <w:szCs w:val="32"/>
        </w:rPr>
      </w:pPr>
      <w:r>
        <w:rPr>
          <w:rFonts w:hint="eastAsia"/>
          <w:sz w:val="32"/>
          <w:szCs w:val="32"/>
          <w:lang w:val="en-US" w:eastAsia="zh-CN"/>
        </w:rPr>
        <w:t>2、</w:t>
      </w:r>
      <w:r>
        <w:rPr>
          <w:sz w:val="32"/>
          <w:szCs w:val="32"/>
        </w:rPr>
        <w:t>“十四五”规划目标</w:t>
      </w:r>
    </w:p>
    <w:p>
      <w:pPr>
        <w:pStyle w:val="4"/>
        <w:pageBreakBefore w:val="0"/>
        <w:kinsoku/>
        <w:wordWrap/>
        <w:overflowPunct/>
        <w:topLinePunct w:val="0"/>
        <w:autoSpaceDE/>
        <w:autoSpaceDN/>
        <w:bidi w:val="0"/>
        <w:adjustRightInd/>
        <w:snapToGrid/>
        <w:spacing w:line="540" w:lineRule="exact"/>
        <w:textAlignment w:val="auto"/>
        <w:rPr>
          <w:sz w:val="32"/>
          <w:szCs w:val="32"/>
        </w:rPr>
      </w:pPr>
      <w:r>
        <w:rPr>
          <w:sz w:val="32"/>
          <w:szCs w:val="32"/>
        </w:rPr>
        <w:t>根据国家对武汉市建设国家中心城市的战略定位，依托水系发育、湖泊密布、城水交融的特征，努力把水优势变为发展优势和竞争胜势，到2025年全市防洪排涝体系进一步巩固完善，水生态环境得到明显改善，供水体系抗风险能力显著提高，城乡水体综合功能稳步提升，水务综合管理能力逐步完善，成为长江经济带高质量发展样板区，为武汉市建设人与自然和谐共生的世界滨水生态名城提供有力保障。</w:t>
      </w:r>
    </w:p>
    <w:p>
      <w:pPr>
        <w:pStyle w:val="4"/>
        <w:pageBreakBefore w:val="0"/>
        <w:kinsoku/>
        <w:wordWrap/>
        <w:overflowPunct/>
        <w:topLinePunct w:val="0"/>
        <w:autoSpaceDE/>
        <w:autoSpaceDN/>
        <w:bidi w:val="0"/>
        <w:adjustRightInd/>
        <w:snapToGrid/>
        <w:spacing w:line="540" w:lineRule="exact"/>
        <w:textAlignment w:val="auto"/>
        <w:rPr>
          <w:sz w:val="32"/>
          <w:szCs w:val="32"/>
        </w:rPr>
      </w:pPr>
      <w:r>
        <w:rPr>
          <w:rFonts w:hint="eastAsia"/>
          <w:sz w:val="32"/>
          <w:szCs w:val="32"/>
          <w:lang w:val="en-US" w:eastAsia="zh-CN"/>
        </w:rPr>
        <w:t>3、</w:t>
      </w:r>
      <w:r>
        <w:rPr>
          <w:sz w:val="32"/>
          <w:szCs w:val="32"/>
        </w:rPr>
        <w:t>分解目标</w:t>
      </w:r>
    </w:p>
    <w:p>
      <w:pPr>
        <w:pStyle w:val="4"/>
        <w:pageBreakBefore w:val="0"/>
        <w:kinsoku/>
        <w:wordWrap/>
        <w:overflowPunct/>
        <w:topLinePunct w:val="0"/>
        <w:autoSpaceDE/>
        <w:autoSpaceDN/>
        <w:bidi w:val="0"/>
        <w:adjustRightInd/>
        <w:snapToGrid/>
        <w:spacing w:line="540" w:lineRule="exact"/>
        <w:ind w:firstLine="562"/>
        <w:textAlignment w:val="auto"/>
        <w:rPr>
          <w:b/>
          <w:sz w:val="32"/>
          <w:szCs w:val="32"/>
        </w:rPr>
      </w:pPr>
      <w:r>
        <w:rPr>
          <w:b/>
          <w:sz w:val="32"/>
          <w:szCs w:val="32"/>
        </w:rPr>
        <w:t>防洪水</w:t>
      </w:r>
      <w:r>
        <w:rPr>
          <w:sz w:val="32"/>
          <w:szCs w:val="32"/>
        </w:rPr>
        <w:t>——进一步</w:t>
      </w:r>
      <w:r>
        <w:rPr>
          <w:bCs/>
          <w:sz w:val="32"/>
          <w:szCs w:val="32"/>
        </w:rPr>
        <w:t>提高</w:t>
      </w:r>
      <w:r>
        <w:rPr>
          <w:sz w:val="32"/>
          <w:szCs w:val="32"/>
        </w:rPr>
        <w:t>城市综合防洪能力，提升滨江水生态环境，强化监测预警预报手段，提升水旱灾害防御工作水平，三级及以上堤防防洪标准达标率达到95%以上，</w:t>
      </w:r>
      <w:r>
        <w:rPr>
          <w:b/>
          <w:sz w:val="32"/>
          <w:szCs w:val="32"/>
        </w:rPr>
        <w:t>形成江河安澜、可防可控的防洪保障体系。</w:t>
      </w:r>
    </w:p>
    <w:p>
      <w:pPr>
        <w:pStyle w:val="4"/>
        <w:pageBreakBefore w:val="0"/>
        <w:kinsoku/>
        <w:wordWrap/>
        <w:overflowPunct/>
        <w:topLinePunct w:val="0"/>
        <w:autoSpaceDE/>
        <w:autoSpaceDN/>
        <w:bidi w:val="0"/>
        <w:adjustRightInd/>
        <w:snapToGrid/>
        <w:spacing w:line="540" w:lineRule="exact"/>
        <w:ind w:firstLine="562"/>
        <w:textAlignment w:val="auto"/>
        <w:rPr>
          <w:b/>
          <w:sz w:val="32"/>
          <w:szCs w:val="32"/>
        </w:rPr>
      </w:pPr>
      <w:r>
        <w:rPr>
          <w:b/>
          <w:sz w:val="32"/>
          <w:szCs w:val="32"/>
        </w:rPr>
        <w:t>排涝水</w:t>
      </w:r>
      <w:r>
        <w:rPr>
          <w:sz w:val="32"/>
          <w:szCs w:val="32"/>
        </w:rPr>
        <w:t>——继续推进海绵城市建设和排水防涝补短板项目建设，加大次、支管网新、改扩建力度，不断提高管网标准和能力，力争排水防涝能力达到20~30年一遇水平，重点区域达到50年一遇，如青山、四新海绵示范区，基本消除顽固渍水点，</w:t>
      </w:r>
      <w:r>
        <w:rPr>
          <w:b/>
          <w:sz w:val="32"/>
          <w:szCs w:val="32"/>
        </w:rPr>
        <w:t>形成</w:t>
      </w:r>
      <w:r>
        <w:rPr>
          <w:b/>
          <w:sz w:val="32"/>
          <w:szCs w:val="32"/>
          <w:lang w:bidi="en-US"/>
        </w:rPr>
        <w:t>排蓄畅通、调度灵活的城市防涝体系</w:t>
      </w:r>
      <w:r>
        <w:rPr>
          <w:b/>
          <w:sz w:val="32"/>
          <w:szCs w:val="32"/>
        </w:rPr>
        <w:t>。</w:t>
      </w:r>
    </w:p>
    <w:p>
      <w:pPr>
        <w:pStyle w:val="4"/>
        <w:pageBreakBefore w:val="0"/>
        <w:kinsoku/>
        <w:wordWrap/>
        <w:overflowPunct/>
        <w:topLinePunct w:val="0"/>
        <w:autoSpaceDE/>
        <w:autoSpaceDN/>
        <w:bidi w:val="0"/>
        <w:adjustRightInd/>
        <w:snapToGrid/>
        <w:spacing w:line="540" w:lineRule="exact"/>
        <w:ind w:firstLine="562"/>
        <w:textAlignment w:val="auto"/>
        <w:rPr>
          <w:sz w:val="32"/>
          <w:szCs w:val="32"/>
        </w:rPr>
      </w:pPr>
      <w:r>
        <w:rPr>
          <w:b/>
          <w:sz w:val="32"/>
          <w:szCs w:val="32"/>
        </w:rPr>
        <w:t>治污水</w:t>
      </w:r>
      <w:r>
        <w:rPr>
          <w:sz w:val="32"/>
          <w:szCs w:val="32"/>
        </w:rPr>
        <w:t>——深入优化城乡污水系统布局，实现污水管网建设全覆盖，污水处理厂进水浓度（BOD</w:t>
      </w:r>
      <w:r>
        <w:rPr>
          <w:sz w:val="32"/>
          <w:szCs w:val="32"/>
          <w:vertAlign w:val="subscript"/>
        </w:rPr>
        <w:t>5</w:t>
      </w:r>
      <w:r>
        <w:rPr>
          <w:sz w:val="32"/>
          <w:szCs w:val="32"/>
        </w:rPr>
        <w:t>）显著提升；多举措开展河湖流域水环境治理，水环境功能区水质达标率提升至80%。</w:t>
      </w:r>
      <w:r>
        <w:rPr>
          <w:b/>
          <w:sz w:val="32"/>
          <w:szCs w:val="32"/>
        </w:rPr>
        <w:t>形成水清岸绿、截污控源的水环境水生态体系。</w:t>
      </w:r>
    </w:p>
    <w:p>
      <w:pPr>
        <w:pStyle w:val="4"/>
        <w:pageBreakBefore w:val="0"/>
        <w:kinsoku/>
        <w:wordWrap/>
        <w:overflowPunct/>
        <w:topLinePunct w:val="0"/>
        <w:autoSpaceDE/>
        <w:autoSpaceDN/>
        <w:bidi w:val="0"/>
        <w:adjustRightInd/>
        <w:snapToGrid/>
        <w:spacing w:line="540" w:lineRule="exact"/>
        <w:ind w:firstLine="562"/>
        <w:textAlignment w:val="auto"/>
        <w:rPr>
          <w:sz w:val="32"/>
          <w:szCs w:val="32"/>
        </w:rPr>
      </w:pPr>
      <w:r>
        <w:rPr>
          <w:b/>
          <w:sz w:val="32"/>
          <w:szCs w:val="32"/>
        </w:rPr>
        <w:t>保供水</w:t>
      </w:r>
      <w:r>
        <w:rPr>
          <w:sz w:val="32"/>
          <w:szCs w:val="32"/>
        </w:rPr>
        <w:t>——围绕“城乡一体、一网分片、水源地优化、整体提质”对全市供水系统进行合理布局，形成源清流洁、多源联网、安全可靠的集中供水系统，自来水厂出厂水平均浊度中心城区不超过0.3 NTU，新城区不超过0.5NTU，</w:t>
      </w:r>
      <w:r>
        <w:rPr>
          <w:b/>
          <w:sz w:val="32"/>
          <w:szCs w:val="32"/>
        </w:rPr>
        <w:t>形成城乡一体、多源互补的供水保障体系。</w:t>
      </w:r>
    </w:p>
    <w:p>
      <w:pPr>
        <w:pStyle w:val="4"/>
        <w:pageBreakBefore w:val="0"/>
        <w:kinsoku/>
        <w:wordWrap/>
        <w:overflowPunct/>
        <w:topLinePunct w:val="0"/>
        <w:autoSpaceDE/>
        <w:autoSpaceDN/>
        <w:bidi w:val="0"/>
        <w:adjustRightInd/>
        <w:snapToGrid/>
        <w:spacing w:line="540" w:lineRule="exact"/>
        <w:ind w:firstLine="562"/>
        <w:textAlignment w:val="auto"/>
        <w:rPr>
          <w:sz w:val="32"/>
          <w:szCs w:val="32"/>
        </w:rPr>
      </w:pPr>
      <w:r>
        <w:rPr>
          <w:b/>
          <w:sz w:val="32"/>
          <w:szCs w:val="32"/>
        </w:rPr>
        <w:t>促节水</w:t>
      </w:r>
      <w:r>
        <w:rPr>
          <w:sz w:val="32"/>
          <w:szCs w:val="32"/>
        </w:rPr>
        <w:t>——严格落实最严格水资源管理制度，实现用水总量和效率双控，2025年全市用水总量不超过49.27亿m</w:t>
      </w:r>
      <w:r>
        <w:rPr>
          <w:sz w:val="32"/>
          <w:szCs w:val="32"/>
          <w:vertAlign w:val="superscript"/>
        </w:rPr>
        <w:t>3</w:t>
      </w:r>
      <w:r>
        <w:rPr>
          <w:sz w:val="32"/>
          <w:szCs w:val="32"/>
        </w:rPr>
        <w:t>，万元GDP用水量降低至20m</w:t>
      </w:r>
      <w:r>
        <w:rPr>
          <w:sz w:val="32"/>
          <w:szCs w:val="32"/>
          <w:vertAlign w:val="superscript"/>
        </w:rPr>
        <w:t>3</w:t>
      </w:r>
      <w:r>
        <w:rPr>
          <w:sz w:val="32"/>
          <w:szCs w:val="32"/>
        </w:rPr>
        <w:t>，农田灌溉水有效利用系数达到0.61。用水全过程管理机制初步形成，全社会节水意识进一步提高，</w:t>
      </w:r>
      <w:r>
        <w:rPr>
          <w:b/>
          <w:sz w:val="32"/>
          <w:szCs w:val="32"/>
        </w:rPr>
        <w:t>形成总量控制、用水高效的节水体系。</w:t>
      </w:r>
    </w:p>
    <w:p>
      <w:pPr>
        <w:pStyle w:val="4"/>
        <w:pageBreakBefore w:val="0"/>
        <w:kinsoku/>
        <w:wordWrap/>
        <w:overflowPunct/>
        <w:topLinePunct w:val="0"/>
        <w:autoSpaceDE/>
        <w:autoSpaceDN/>
        <w:bidi w:val="0"/>
        <w:adjustRightInd/>
        <w:snapToGrid/>
        <w:spacing w:line="540" w:lineRule="exact"/>
        <w:ind w:firstLine="562"/>
        <w:textAlignment w:val="auto"/>
        <w:rPr>
          <w:b/>
          <w:sz w:val="32"/>
          <w:szCs w:val="32"/>
        </w:rPr>
      </w:pPr>
      <w:bookmarkStart w:id="4" w:name="_Toc52115467"/>
      <w:r>
        <w:rPr>
          <w:b/>
          <w:sz w:val="32"/>
          <w:szCs w:val="32"/>
        </w:rPr>
        <w:t>严管水</w:t>
      </w:r>
      <w:r>
        <w:rPr>
          <w:sz w:val="32"/>
          <w:szCs w:val="32"/>
        </w:rPr>
        <w:t>——全市水安全应急保障更为有力，依法治水体系更加完备，水务监管能力显著提升，水务管理机制更加顺畅，水文化地域特色更加鲜明，水务智慧化管理初步实现，</w:t>
      </w:r>
      <w:r>
        <w:rPr>
          <w:b/>
          <w:sz w:val="32"/>
          <w:szCs w:val="32"/>
        </w:rPr>
        <w:t>形成智能高效、科学创新的水务综合管理体系。</w:t>
      </w:r>
      <w:bookmarkEnd w:id="4"/>
      <w:bookmarkStart w:id="5" w:name="_Toc77952566"/>
    </w:p>
    <w:p>
      <w:pPr>
        <w:pStyle w:val="3"/>
        <w:pageBreakBefore w:val="0"/>
        <w:numPr>
          <w:ilvl w:val="1"/>
          <w:numId w:val="0"/>
        </w:numPr>
        <w:kinsoku/>
        <w:wordWrap/>
        <w:overflowPunct/>
        <w:topLinePunct w:val="0"/>
        <w:autoSpaceDE/>
        <w:autoSpaceDN/>
        <w:bidi w:val="0"/>
        <w:adjustRightInd/>
        <w:snapToGrid/>
        <w:spacing w:before="312" w:line="540" w:lineRule="exact"/>
        <w:ind w:left="710" w:leftChars="0"/>
        <w:textAlignment w:val="auto"/>
        <w:rPr>
          <w:rFonts w:hint="eastAsia" w:ascii="楷体" w:hAnsi="楷体" w:eastAsia="楷体" w:cs="楷体"/>
          <w:b/>
          <w:bCs w:val="0"/>
          <w:sz w:val="32"/>
          <w:szCs w:val="32"/>
        </w:rPr>
      </w:pPr>
      <w:r>
        <w:rPr>
          <w:rFonts w:hint="eastAsia" w:ascii="楷体" w:hAnsi="楷体" w:eastAsia="楷体" w:cs="楷体"/>
          <w:b/>
          <w:bCs w:val="0"/>
          <w:sz w:val="32"/>
          <w:szCs w:val="32"/>
          <w:lang w:eastAsia="zh-CN"/>
        </w:rPr>
        <w:t>（四）</w:t>
      </w:r>
      <w:r>
        <w:rPr>
          <w:rFonts w:hint="eastAsia" w:ascii="楷体" w:hAnsi="楷体" w:eastAsia="楷体" w:cs="楷体"/>
          <w:b/>
          <w:bCs w:val="0"/>
          <w:sz w:val="32"/>
          <w:szCs w:val="32"/>
        </w:rPr>
        <w:t>规划总体布局</w:t>
      </w:r>
      <w:bookmarkEnd w:id="5"/>
    </w:p>
    <w:p>
      <w:pPr>
        <w:pStyle w:val="4"/>
        <w:pageBreakBefore w:val="0"/>
        <w:kinsoku/>
        <w:wordWrap/>
        <w:overflowPunct/>
        <w:topLinePunct w:val="0"/>
        <w:autoSpaceDE/>
        <w:autoSpaceDN/>
        <w:bidi w:val="0"/>
        <w:adjustRightInd/>
        <w:snapToGrid/>
        <w:spacing w:line="540" w:lineRule="exact"/>
        <w:textAlignment w:val="auto"/>
        <w:rPr>
          <w:sz w:val="32"/>
          <w:szCs w:val="32"/>
        </w:rPr>
      </w:pPr>
      <w:r>
        <w:rPr>
          <w:sz w:val="32"/>
          <w:szCs w:val="32"/>
        </w:rPr>
        <w:t>“十四五”期间全市水务发展根据“两江交汇、三镇水系相对独立”的自然水域分布格局，围绕构建五大水务工程保障体系和智能高效的水务综合管理体系，结合城乡发展布局和功能体系，形成较为完善的“5+1”总体布局。</w:t>
      </w:r>
    </w:p>
    <w:p>
      <w:pPr>
        <w:pStyle w:val="4"/>
        <w:pageBreakBefore w:val="0"/>
        <w:kinsoku/>
        <w:wordWrap/>
        <w:overflowPunct/>
        <w:topLinePunct w:val="0"/>
        <w:autoSpaceDE/>
        <w:autoSpaceDN/>
        <w:bidi w:val="0"/>
        <w:adjustRightInd/>
        <w:snapToGrid/>
        <w:spacing w:line="540" w:lineRule="exact"/>
        <w:textAlignment w:val="auto"/>
        <w:rPr>
          <w:sz w:val="32"/>
          <w:szCs w:val="32"/>
        </w:rPr>
      </w:pPr>
      <w:bookmarkStart w:id="6" w:name="_Hlk44582079"/>
      <w:r>
        <w:rPr>
          <w:rFonts w:hint="eastAsia"/>
          <w:sz w:val="32"/>
          <w:szCs w:val="32"/>
          <w:lang w:val="en-US" w:eastAsia="zh-CN"/>
        </w:rPr>
        <w:t>1、</w:t>
      </w:r>
      <w:r>
        <w:rPr>
          <w:sz w:val="32"/>
          <w:szCs w:val="32"/>
        </w:rPr>
        <w:t>构建</w:t>
      </w:r>
      <w:bookmarkStart w:id="7" w:name="_Hlk44582359"/>
      <w:r>
        <w:rPr>
          <w:sz w:val="32"/>
          <w:szCs w:val="32"/>
        </w:rPr>
        <w:t>江河安澜</w:t>
      </w:r>
      <w:r>
        <w:rPr>
          <w:sz w:val="32"/>
          <w:szCs w:val="32"/>
          <w:lang w:bidi="en-US"/>
        </w:rPr>
        <w:t>、可防可控的</w:t>
      </w:r>
      <w:r>
        <w:rPr>
          <w:sz w:val="32"/>
          <w:szCs w:val="32"/>
        </w:rPr>
        <w:t>防洪保障体系</w:t>
      </w:r>
      <w:bookmarkEnd w:id="6"/>
      <w:bookmarkEnd w:id="7"/>
    </w:p>
    <w:p>
      <w:pPr>
        <w:pStyle w:val="4"/>
        <w:pageBreakBefore w:val="0"/>
        <w:kinsoku/>
        <w:wordWrap/>
        <w:overflowPunct/>
        <w:topLinePunct w:val="0"/>
        <w:autoSpaceDE/>
        <w:autoSpaceDN/>
        <w:bidi w:val="0"/>
        <w:adjustRightInd/>
        <w:snapToGrid/>
        <w:spacing w:line="540" w:lineRule="exact"/>
        <w:textAlignment w:val="auto"/>
        <w:rPr>
          <w:sz w:val="32"/>
          <w:szCs w:val="32"/>
        </w:rPr>
      </w:pPr>
      <w:r>
        <w:rPr>
          <w:sz w:val="32"/>
          <w:szCs w:val="32"/>
        </w:rPr>
        <w:t>武汉防洪体系为长江中下游防洪格局中的重要组成部分，依靠江堤、支流堤防和自然高地划分为防洪保护（区）。“十四五”维持现有的防洪体系总体格局，实施江河防洪与环境综合整治、蓄滞洪区续建配套、病险水库、涵闸除险加固等措施，解决防洪体系的缺口和薄弱环节，完善汉口、武昌、汉阳3个防洪保护圈</w:t>
      </w:r>
      <w:r>
        <w:rPr>
          <w:rFonts w:hint="eastAsia"/>
          <w:sz w:val="32"/>
          <w:szCs w:val="32"/>
        </w:rPr>
        <w:t>、</w:t>
      </w:r>
      <w:r>
        <w:rPr>
          <w:sz w:val="32"/>
          <w:szCs w:val="32"/>
        </w:rPr>
        <w:t>8个防洪保护区和6个</w:t>
      </w:r>
      <w:r>
        <w:rPr>
          <w:rFonts w:hint="eastAsia"/>
          <w:sz w:val="32"/>
          <w:szCs w:val="32"/>
        </w:rPr>
        <w:t>蓄滞洪区</w:t>
      </w:r>
      <w:r>
        <w:rPr>
          <w:sz w:val="32"/>
          <w:szCs w:val="32"/>
        </w:rPr>
        <w:t>，构建协调配套、可防可控的防洪保障体系。</w:t>
      </w:r>
    </w:p>
    <w:p>
      <w:pPr>
        <w:pStyle w:val="4"/>
        <w:pageBreakBefore w:val="0"/>
        <w:kinsoku/>
        <w:wordWrap/>
        <w:overflowPunct/>
        <w:topLinePunct w:val="0"/>
        <w:autoSpaceDE/>
        <w:autoSpaceDN/>
        <w:bidi w:val="0"/>
        <w:adjustRightInd/>
        <w:snapToGrid/>
        <w:spacing w:line="540" w:lineRule="exact"/>
        <w:textAlignment w:val="auto"/>
        <w:rPr>
          <w:sz w:val="32"/>
          <w:szCs w:val="32"/>
        </w:rPr>
      </w:pPr>
      <w:bookmarkStart w:id="8" w:name="_Hlk44582093"/>
      <w:r>
        <w:rPr>
          <w:rFonts w:hint="eastAsia"/>
          <w:sz w:val="32"/>
          <w:szCs w:val="32"/>
          <w:lang w:val="en-US" w:eastAsia="zh-CN"/>
        </w:rPr>
        <w:t>2、</w:t>
      </w:r>
      <w:r>
        <w:rPr>
          <w:sz w:val="32"/>
          <w:szCs w:val="32"/>
        </w:rPr>
        <w:t>构建</w:t>
      </w:r>
      <w:bookmarkStart w:id="9" w:name="_Hlk44582270"/>
      <w:r>
        <w:rPr>
          <w:sz w:val="32"/>
          <w:szCs w:val="32"/>
          <w:lang w:bidi="en-US"/>
        </w:rPr>
        <w:t>排蓄畅通、调度灵活</w:t>
      </w:r>
      <w:r>
        <w:rPr>
          <w:sz w:val="32"/>
          <w:szCs w:val="32"/>
        </w:rPr>
        <w:t>的城市防涝体系</w:t>
      </w:r>
      <w:bookmarkEnd w:id="8"/>
      <w:bookmarkEnd w:id="9"/>
    </w:p>
    <w:p>
      <w:pPr>
        <w:pStyle w:val="4"/>
        <w:pageBreakBefore w:val="0"/>
        <w:kinsoku/>
        <w:wordWrap/>
        <w:overflowPunct/>
        <w:topLinePunct w:val="0"/>
        <w:autoSpaceDE/>
        <w:autoSpaceDN/>
        <w:bidi w:val="0"/>
        <w:adjustRightInd/>
        <w:snapToGrid/>
        <w:spacing w:line="540" w:lineRule="exact"/>
        <w:textAlignment w:val="auto"/>
        <w:rPr>
          <w:sz w:val="32"/>
          <w:szCs w:val="32"/>
        </w:rPr>
      </w:pPr>
      <w:r>
        <w:rPr>
          <w:sz w:val="32"/>
          <w:szCs w:val="32"/>
        </w:rPr>
        <w:t>根据武汉三镇独立、各具特色的特点，按汇流与排涝方式进行梳理，完善全市35个排涝体系。按照全面贯彻源头减排、过程控制、系统治理的原则，在海绵城市源头控制的基础上，配套骨干管网港渠，充分发挥区域湖港优势，科学划分涝水渗、滞、蓄、排比例，合理安排涝水出路，适当提高外排能力，优化水系调度，提升水系排涝标准，构建标准适宜、调度灵活的城市防涝体系。</w:t>
      </w:r>
    </w:p>
    <w:p>
      <w:pPr>
        <w:pStyle w:val="4"/>
        <w:pageBreakBefore w:val="0"/>
        <w:kinsoku/>
        <w:wordWrap/>
        <w:overflowPunct/>
        <w:topLinePunct w:val="0"/>
        <w:autoSpaceDE/>
        <w:autoSpaceDN/>
        <w:bidi w:val="0"/>
        <w:adjustRightInd/>
        <w:snapToGrid/>
        <w:spacing w:line="540" w:lineRule="exact"/>
        <w:textAlignment w:val="auto"/>
        <w:rPr>
          <w:sz w:val="32"/>
          <w:szCs w:val="32"/>
        </w:rPr>
      </w:pPr>
      <w:r>
        <w:rPr>
          <w:rFonts w:hint="eastAsia"/>
          <w:sz w:val="32"/>
          <w:szCs w:val="32"/>
          <w:lang w:val="en-US" w:eastAsia="zh-CN"/>
        </w:rPr>
        <w:t>3、</w:t>
      </w:r>
      <w:r>
        <w:rPr>
          <w:sz w:val="32"/>
          <w:szCs w:val="32"/>
        </w:rPr>
        <w:t>构建水清岸绿、截污控源的水环境水生态体系</w:t>
      </w:r>
    </w:p>
    <w:p>
      <w:pPr>
        <w:pStyle w:val="4"/>
        <w:pageBreakBefore w:val="0"/>
        <w:kinsoku/>
        <w:wordWrap/>
        <w:overflowPunct/>
        <w:topLinePunct w:val="0"/>
        <w:autoSpaceDE/>
        <w:autoSpaceDN/>
        <w:bidi w:val="0"/>
        <w:adjustRightInd/>
        <w:snapToGrid/>
        <w:spacing w:line="540" w:lineRule="exact"/>
        <w:textAlignment w:val="auto"/>
        <w:rPr>
          <w:snapToGrid/>
          <w:sz w:val="32"/>
          <w:szCs w:val="32"/>
        </w:rPr>
      </w:pPr>
      <w:r>
        <w:rPr>
          <w:sz w:val="32"/>
          <w:szCs w:val="32"/>
        </w:rPr>
        <w:t>以水环境承载能力为约束，以水功能区达标管理为重点抓手，按照“陆域严格控污、水陆生态减污、水域综合治污”的基本思路，强化水污</w:t>
      </w:r>
      <w:r>
        <w:rPr>
          <w:snapToGrid/>
          <w:sz w:val="32"/>
          <w:szCs w:val="32"/>
        </w:rPr>
        <w:t>染治理，大力提高废污水收集处理能力，推进以流域为单元的河湖控污治污生态修复全过程联动，注重水环境保护治理的生态性、系统性、长效性，确保水源地水质安全，提升河湖水环境质量，逐步实现清水入江，构建水清岸绿、截污控源的水生态环境体系。</w:t>
      </w:r>
    </w:p>
    <w:p>
      <w:pPr>
        <w:pStyle w:val="4"/>
        <w:pageBreakBefore w:val="0"/>
        <w:kinsoku/>
        <w:wordWrap/>
        <w:overflowPunct/>
        <w:topLinePunct w:val="0"/>
        <w:autoSpaceDE/>
        <w:autoSpaceDN/>
        <w:bidi w:val="0"/>
        <w:adjustRightInd/>
        <w:snapToGrid/>
        <w:spacing w:line="540" w:lineRule="exact"/>
        <w:textAlignment w:val="auto"/>
        <w:rPr>
          <w:sz w:val="32"/>
          <w:szCs w:val="32"/>
        </w:rPr>
      </w:pPr>
      <w:r>
        <w:rPr>
          <w:rFonts w:hint="eastAsia"/>
          <w:sz w:val="32"/>
          <w:szCs w:val="32"/>
          <w:lang w:val="en-US" w:eastAsia="zh-CN"/>
        </w:rPr>
        <w:t>4、</w:t>
      </w:r>
      <w:r>
        <w:rPr>
          <w:sz w:val="32"/>
          <w:szCs w:val="32"/>
        </w:rPr>
        <w:t>构建城乡一体、多源互补的供水保障体系</w:t>
      </w:r>
    </w:p>
    <w:p>
      <w:pPr>
        <w:pStyle w:val="4"/>
        <w:pageBreakBefore w:val="0"/>
        <w:kinsoku/>
        <w:wordWrap/>
        <w:overflowPunct/>
        <w:topLinePunct w:val="0"/>
        <w:autoSpaceDE/>
        <w:autoSpaceDN/>
        <w:bidi w:val="0"/>
        <w:adjustRightInd/>
        <w:snapToGrid/>
        <w:spacing w:line="540" w:lineRule="exact"/>
        <w:textAlignment w:val="auto"/>
        <w:rPr>
          <w:sz w:val="32"/>
          <w:szCs w:val="32"/>
        </w:rPr>
      </w:pPr>
      <w:r>
        <w:rPr>
          <w:sz w:val="32"/>
          <w:szCs w:val="32"/>
        </w:rPr>
        <w:t>根据武汉市水资源情势和社会经济发展需求，从保障水资源可持续利用、实现空间均衡发展的角度出发，按照节水优先、总量控制、高效利用、多源互补的思路，坚持固水源、扩水厂、改水网、多备用，合理优化配置水资源，优化布局水厂和输配水管网，高标准、多措施保障城市应急备用供水</w:t>
      </w:r>
      <w:r>
        <w:rPr>
          <w:rFonts w:hint="eastAsia"/>
          <w:sz w:val="32"/>
          <w:szCs w:val="32"/>
          <w:lang w:eastAsia="zh-CN"/>
        </w:rPr>
        <w:t>，</w:t>
      </w:r>
      <w:bookmarkStart w:id="10" w:name="_GoBack"/>
      <w:bookmarkEnd w:id="10"/>
      <w:r>
        <w:rPr>
          <w:sz w:val="32"/>
          <w:szCs w:val="32"/>
        </w:rPr>
        <w:t>全面提升都市供水安全保障，构建城乡一体、多源互补的城市供水体系。</w:t>
      </w:r>
    </w:p>
    <w:p>
      <w:pPr>
        <w:pStyle w:val="4"/>
        <w:pageBreakBefore w:val="0"/>
        <w:kinsoku/>
        <w:wordWrap/>
        <w:overflowPunct/>
        <w:topLinePunct w:val="0"/>
        <w:autoSpaceDE/>
        <w:autoSpaceDN/>
        <w:bidi w:val="0"/>
        <w:adjustRightInd/>
        <w:snapToGrid/>
        <w:spacing w:line="540" w:lineRule="exact"/>
        <w:textAlignment w:val="auto"/>
        <w:rPr>
          <w:sz w:val="32"/>
          <w:szCs w:val="32"/>
        </w:rPr>
      </w:pPr>
      <w:r>
        <w:rPr>
          <w:rFonts w:hint="eastAsia"/>
          <w:sz w:val="32"/>
          <w:szCs w:val="32"/>
          <w:lang w:val="en-US" w:eastAsia="zh-CN"/>
        </w:rPr>
        <w:t>5、</w:t>
      </w:r>
      <w:r>
        <w:rPr>
          <w:sz w:val="32"/>
          <w:szCs w:val="32"/>
        </w:rPr>
        <w:t>构建总量控制、用水高效的节水体系</w:t>
      </w:r>
    </w:p>
    <w:p>
      <w:pPr>
        <w:pStyle w:val="4"/>
        <w:pageBreakBefore w:val="0"/>
        <w:kinsoku/>
        <w:wordWrap/>
        <w:overflowPunct/>
        <w:topLinePunct w:val="0"/>
        <w:autoSpaceDE/>
        <w:autoSpaceDN/>
        <w:bidi w:val="0"/>
        <w:adjustRightInd/>
        <w:snapToGrid/>
        <w:spacing w:line="540" w:lineRule="exact"/>
        <w:textAlignment w:val="auto"/>
        <w:rPr>
          <w:sz w:val="32"/>
          <w:szCs w:val="32"/>
        </w:rPr>
      </w:pPr>
      <w:r>
        <w:rPr>
          <w:sz w:val="32"/>
          <w:szCs w:val="32"/>
        </w:rPr>
        <w:t>严格落实最严格水资源三条红线管理制度，优化水资源调配，从工业、农业、生活等多方面推进节水型社会建设，实施供水管网改造、工业技改、大中型灌区现代化改造等措施提高水资源利用效率和效益，鼓励中水回用，建设再生水回用污水厂等设施，提高非常规水利用效率，构建总量控制、用水高效的节水体系</w:t>
      </w:r>
      <w:r>
        <w:rPr>
          <w:rFonts w:hint="eastAsia"/>
          <w:sz w:val="32"/>
          <w:szCs w:val="32"/>
        </w:rPr>
        <w:t>。</w:t>
      </w:r>
    </w:p>
    <w:p>
      <w:pPr>
        <w:pStyle w:val="4"/>
        <w:pageBreakBefore w:val="0"/>
        <w:kinsoku/>
        <w:wordWrap/>
        <w:overflowPunct/>
        <w:topLinePunct w:val="0"/>
        <w:autoSpaceDE/>
        <w:autoSpaceDN/>
        <w:bidi w:val="0"/>
        <w:adjustRightInd/>
        <w:snapToGrid/>
        <w:spacing w:line="540" w:lineRule="exact"/>
        <w:textAlignment w:val="auto"/>
        <w:rPr>
          <w:sz w:val="32"/>
          <w:szCs w:val="32"/>
        </w:rPr>
      </w:pPr>
      <w:r>
        <w:rPr>
          <w:rFonts w:hint="eastAsia"/>
          <w:sz w:val="32"/>
          <w:szCs w:val="32"/>
          <w:lang w:val="en-US" w:eastAsia="zh-CN"/>
        </w:rPr>
        <w:t>6、</w:t>
      </w:r>
      <w:r>
        <w:rPr>
          <w:sz w:val="32"/>
          <w:szCs w:val="32"/>
        </w:rPr>
        <w:t>构建智能高效、科学创新的水务综合管理体系</w:t>
      </w:r>
    </w:p>
    <w:p>
      <w:pPr>
        <w:pStyle w:val="4"/>
        <w:pageBreakBefore w:val="0"/>
        <w:kinsoku/>
        <w:wordWrap/>
        <w:overflowPunct/>
        <w:topLinePunct w:val="0"/>
        <w:autoSpaceDE/>
        <w:autoSpaceDN/>
        <w:bidi w:val="0"/>
        <w:adjustRightInd/>
        <w:snapToGrid/>
        <w:spacing w:line="540" w:lineRule="exact"/>
        <w:textAlignment w:val="auto"/>
        <w:rPr>
          <w:sz w:val="32"/>
          <w:szCs w:val="32"/>
        </w:rPr>
      </w:pPr>
      <w:r>
        <w:rPr>
          <w:sz w:val="32"/>
          <w:szCs w:val="32"/>
        </w:rPr>
        <w:t>以水务工程体系为依托，完善应急预案，强化应急调度，全面提升应急保障能力；以《长江保护法》为准绳，加强重点领域立法，提升水行政执法能力，强化涉水规划约束，持续提高依法治水水平；加强江河湖库、水资源、水土保持、水务工程监管，着力提升水务监管能力；以水务管理机制改革创新为抓手，破解制约水务发展的机制障碍和科学技术难题；以水文化宣传教育为前提，加强水文化载体建设和水文化产业培育；以完善五大业务应用场景为重点，加强基础监测设施优化和决策指挥平台构建，不断提升水务信息化水平，构建智能高效、科学创新的水务综合管理体系。</w:t>
      </w:r>
    </w:p>
    <w:p>
      <w:pPr>
        <w:pStyle w:val="2"/>
        <w:pageBreakBefore w:val="0"/>
        <w:numPr>
          <w:ilvl w:val="0"/>
          <w:numId w:val="0"/>
        </w:numPr>
        <w:kinsoku/>
        <w:wordWrap/>
        <w:overflowPunct/>
        <w:topLinePunct w:val="0"/>
        <w:autoSpaceDE/>
        <w:autoSpaceDN/>
        <w:bidi w:val="0"/>
        <w:adjustRightInd/>
        <w:snapToGrid/>
        <w:spacing w:line="540" w:lineRule="exact"/>
        <w:ind w:firstLine="643"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水务工程体系规划任务</w:t>
      </w:r>
    </w:p>
    <w:p>
      <w:pPr>
        <w:pStyle w:val="3"/>
        <w:pageBreakBefore w:val="0"/>
        <w:numPr>
          <w:ilvl w:val="1"/>
          <w:numId w:val="0"/>
        </w:numPr>
        <w:kinsoku/>
        <w:wordWrap/>
        <w:overflowPunct/>
        <w:topLinePunct w:val="0"/>
        <w:autoSpaceDE/>
        <w:autoSpaceDN/>
        <w:bidi w:val="0"/>
        <w:adjustRightInd/>
        <w:snapToGrid/>
        <w:spacing w:before="312" w:line="540" w:lineRule="exact"/>
        <w:ind w:left="710" w:leftChars="0"/>
        <w:textAlignment w:val="auto"/>
        <w:rPr>
          <w:rFonts w:hint="eastAsia" w:ascii="楷体" w:hAnsi="楷体" w:eastAsia="楷体" w:cs="楷体"/>
          <w:b/>
          <w:bCs w:val="0"/>
          <w:sz w:val="32"/>
          <w:szCs w:val="32"/>
        </w:rPr>
      </w:pPr>
      <w:r>
        <w:rPr>
          <w:rFonts w:hint="eastAsia" w:ascii="楷体" w:hAnsi="楷体" w:eastAsia="楷体" w:cs="楷体"/>
          <w:b/>
          <w:bCs w:val="0"/>
          <w:sz w:val="32"/>
          <w:szCs w:val="32"/>
          <w:lang w:eastAsia="zh-CN"/>
        </w:rPr>
        <w:t>（一）</w:t>
      </w:r>
      <w:r>
        <w:rPr>
          <w:rFonts w:hint="eastAsia" w:ascii="楷体" w:hAnsi="楷体" w:eastAsia="楷体" w:cs="楷体"/>
          <w:b/>
          <w:bCs w:val="0"/>
          <w:sz w:val="32"/>
          <w:szCs w:val="32"/>
        </w:rPr>
        <w:t>构建江湖安澜、可防可控的防洪保障体系</w:t>
      </w:r>
    </w:p>
    <w:p>
      <w:pPr>
        <w:pStyle w:val="4"/>
        <w:pageBreakBefore w:val="0"/>
        <w:kinsoku/>
        <w:wordWrap/>
        <w:overflowPunct/>
        <w:topLinePunct w:val="0"/>
        <w:autoSpaceDE/>
        <w:autoSpaceDN/>
        <w:bidi w:val="0"/>
        <w:adjustRightInd/>
        <w:snapToGrid/>
        <w:spacing w:line="540" w:lineRule="exact"/>
        <w:textAlignment w:val="auto"/>
        <w:rPr>
          <w:sz w:val="32"/>
          <w:szCs w:val="32"/>
        </w:rPr>
      </w:pPr>
      <w:r>
        <w:rPr>
          <w:rFonts w:hint="eastAsia"/>
          <w:sz w:val="32"/>
          <w:szCs w:val="32"/>
        </w:rPr>
        <w:t>持续优化防洪格局，健全城市防洪体系。提高区域防洪能力，形成完备的防洪保护区。推进长江、汉江防洪及滨江水生态环境综合整治，打造“武汉百里长江生态廊道”，结合城市总体规划中的两廊、多区、两带的构思，接断点、提亮点、补空点，重塑健康的长江生态系统、彰显丰富的武汉历史文化，还江与民、还绿与民、还岸线与民，推进长江大保护，将武汉打造为世界知名滨水生态绿城。</w:t>
      </w:r>
    </w:p>
    <w:p>
      <w:pPr>
        <w:pStyle w:val="4"/>
        <w:pageBreakBefore w:val="0"/>
        <w:kinsoku/>
        <w:wordWrap/>
        <w:overflowPunct/>
        <w:topLinePunct w:val="0"/>
        <w:autoSpaceDE/>
        <w:autoSpaceDN/>
        <w:bidi w:val="0"/>
        <w:adjustRightInd/>
        <w:snapToGrid/>
        <w:spacing w:line="540" w:lineRule="exact"/>
        <w:textAlignment w:val="auto"/>
        <w:rPr>
          <w:sz w:val="32"/>
          <w:szCs w:val="32"/>
        </w:rPr>
      </w:pPr>
      <w:r>
        <w:rPr>
          <w:rFonts w:hint="eastAsia"/>
          <w:sz w:val="32"/>
          <w:szCs w:val="32"/>
        </w:rPr>
        <w:t>加强蓄滞洪区蓄滞洪和安全建设，推进杜家台蓄滞洪区安全建设，优化调整武湖、涨渡湖蓄滞洪区范围。按照生态防洪治理的理念，开展滠水河、倒水河、举水河、府</w:t>
      </w:r>
      <w:r>
        <w:rPr>
          <w:rFonts w:hint="eastAsia" w:ascii="仿宋" w:hAnsi="仿宋" w:eastAsia="仿宋" w:cs="仿宋"/>
          <w:sz w:val="32"/>
          <w:szCs w:val="32"/>
        </w:rPr>
        <w:t>澴</w:t>
      </w:r>
      <w:r>
        <w:rPr>
          <w:rFonts w:hint="eastAsia" w:ascii="仿宋_GB2312" w:hAnsi="仿宋_GB2312" w:cs="仿宋_GB2312"/>
          <w:sz w:val="32"/>
          <w:szCs w:val="32"/>
        </w:rPr>
        <w:t>河等</w:t>
      </w:r>
      <w:r>
        <w:rPr>
          <w:sz w:val="32"/>
          <w:szCs w:val="32"/>
        </w:rPr>
        <w:t>4条连江支流及</w:t>
      </w:r>
      <w:r>
        <w:rPr>
          <w:rFonts w:hint="eastAsia"/>
          <w:sz w:val="32"/>
          <w:szCs w:val="32"/>
        </w:rPr>
        <w:t>东河、沙河、鄢家河、金水河等</w:t>
      </w:r>
      <w:r>
        <w:rPr>
          <w:sz w:val="32"/>
          <w:szCs w:val="32"/>
        </w:rPr>
        <w:t>4条中小河流生态治理</w:t>
      </w:r>
      <w:r>
        <w:rPr>
          <w:rFonts w:hint="eastAsia"/>
          <w:sz w:val="32"/>
          <w:szCs w:val="32"/>
        </w:rPr>
        <w:t>，构建人水和谐环境</w:t>
      </w:r>
      <w:r>
        <w:rPr>
          <w:sz w:val="32"/>
          <w:szCs w:val="32"/>
        </w:rPr>
        <w:t>。推进梅店水库、5座大中型涵闸除险加固</w:t>
      </w:r>
      <w:r>
        <w:rPr>
          <w:rFonts w:hint="eastAsia"/>
          <w:sz w:val="32"/>
          <w:szCs w:val="32"/>
        </w:rPr>
        <w:t>；推进全市水库标准化建设，基本构建功能定位适宜、产权归属清晰、责任主体明确、工程安全生态、管理智慧高效的水库治理体系，进一步提升水库水安全、水生态、水景观功能。</w:t>
      </w:r>
      <w:r>
        <w:rPr>
          <w:sz w:val="32"/>
          <w:szCs w:val="32"/>
        </w:rPr>
        <w:t>实施4个湖泊防洪治理工程，进行湖堤加固，提升湖泊防洪能力。加强山洪灾害易发区域监测预警，促进预报预警调度一体化。</w:t>
      </w:r>
    </w:p>
    <w:p>
      <w:pPr>
        <w:pStyle w:val="3"/>
        <w:pageBreakBefore w:val="0"/>
        <w:numPr>
          <w:ilvl w:val="1"/>
          <w:numId w:val="0"/>
        </w:numPr>
        <w:kinsoku/>
        <w:wordWrap/>
        <w:overflowPunct/>
        <w:topLinePunct w:val="0"/>
        <w:autoSpaceDE/>
        <w:autoSpaceDN/>
        <w:bidi w:val="0"/>
        <w:adjustRightInd/>
        <w:snapToGrid/>
        <w:spacing w:before="312" w:line="540" w:lineRule="exact"/>
        <w:ind w:left="710" w:leftChars="0"/>
        <w:textAlignment w:val="auto"/>
        <w:rPr>
          <w:rFonts w:hint="eastAsia" w:ascii="楷体" w:hAnsi="楷体" w:eastAsia="楷体" w:cs="楷体"/>
          <w:b/>
          <w:bCs w:val="0"/>
          <w:sz w:val="32"/>
          <w:szCs w:val="32"/>
        </w:rPr>
      </w:pPr>
      <w:r>
        <w:rPr>
          <w:rFonts w:hint="eastAsia" w:ascii="楷体" w:hAnsi="楷体" w:eastAsia="楷体" w:cs="楷体"/>
          <w:b/>
          <w:bCs w:val="0"/>
          <w:sz w:val="32"/>
          <w:szCs w:val="32"/>
          <w:lang w:eastAsia="zh-CN"/>
        </w:rPr>
        <w:t>（二）</w:t>
      </w:r>
      <w:r>
        <w:rPr>
          <w:rFonts w:hint="eastAsia" w:ascii="楷体" w:hAnsi="楷体" w:eastAsia="楷体" w:cs="楷体"/>
          <w:b/>
          <w:bCs w:val="0"/>
          <w:sz w:val="32"/>
          <w:szCs w:val="32"/>
        </w:rPr>
        <w:t>构建排蓄畅通、调度灵活的城市防涝体系</w:t>
      </w:r>
    </w:p>
    <w:p>
      <w:pPr>
        <w:pStyle w:val="4"/>
        <w:pageBreakBefore w:val="0"/>
        <w:kinsoku/>
        <w:wordWrap/>
        <w:overflowPunct/>
        <w:topLinePunct w:val="0"/>
        <w:autoSpaceDE/>
        <w:autoSpaceDN/>
        <w:bidi w:val="0"/>
        <w:adjustRightInd/>
        <w:snapToGrid/>
        <w:spacing w:line="540" w:lineRule="exact"/>
        <w:textAlignment w:val="auto"/>
        <w:rPr>
          <w:sz w:val="32"/>
          <w:szCs w:val="32"/>
        </w:rPr>
      </w:pPr>
      <w:r>
        <w:rPr>
          <w:rFonts w:hint="eastAsia"/>
          <w:sz w:val="32"/>
          <w:szCs w:val="32"/>
        </w:rPr>
        <w:t>秉持生态化理念，强化江河、湖泊、湿地等蓄滞空间管控，构建连续完整的生态基础设施；通过港渠综合治理、泵站改扩建等畅通涝水出路，构建功能系统健全的骨干排涝工程体系。加大主干管网的新、改、扩建及次、支排水管网建设力度，提高管网建设标准及完善排水通道，提高区域排水防涝能力。加强海绵设施建设和渍水点改造，通过源头管控措施，减少城市径流，缓解局部渍涝。加快超标排放系统建设，重点实施汉口地区深层排水隧道建设；加强河湖水系连通，构建引排得当、水流通畅、蓄泄兼筹的河湖生态水网，持续完善东沙湖水系、汤逊湖水系、蔡甸东湖水系等水系调度方案，进一步发挥湖泊群蓄滞功能、实施湖泊群应急排涝调度、新增蓄滞空间。新城区加快建设江夏鲁湖泵站、竹林湖泵站，对新城区排涝水系（排水系统）配套设施进行提升完善。</w:t>
      </w:r>
    </w:p>
    <w:p>
      <w:pPr>
        <w:pStyle w:val="4"/>
        <w:pageBreakBefore w:val="0"/>
        <w:kinsoku/>
        <w:wordWrap/>
        <w:overflowPunct/>
        <w:topLinePunct w:val="0"/>
        <w:autoSpaceDE/>
        <w:autoSpaceDN/>
        <w:bidi w:val="0"/>
        <w:adjustRightInd/>
        <w:snapToGrid/>
        <w:spacing w:line="540" w:lineRule="exact"/>
        <w:textAlignment w:val="auto"/>
        <w:rPr>
          <w:sz w:val="32"/>
          <w:szCs w:val="32"/>
        </w:rPr>
      </w:pPr>
      <w:r>
        <w:rPr>
          <w:sz w:val="32"/>
          <w:szCs w:val="32"/>
        </w:rPr>
        <w:t>全市35个水系现有一级外排泵站能力为3781.88 m</w:t>
      </w:r>
      <w:r>
        <w:rPr>
          <w:sz w:val="32"/>
          <w:szCs w:val="32"/>
          <w:vertAlign w:val="superscript"/>
        </w:rPr>
        <w:t>3</w:t>
      </w:r>
      <w:r>
        <w:rPr>
          <w:sz w:val="32"/>
          <w:szCs w:val="32"/>
        </w:rPr>
        <w:t>/s。根据排水系统骨干排涝能力由现状10～20年一遇提高到20～30年一遇的目标，“十四五”期间全市将新改扩建</w:t>
      </w:r>
      <w:r>
        <w:rPr>
          <w:rFonts w:hint="eastAsia"/>
          <w:sz w:val="32"/>
          <w:szCs w:val="32"/>
        </w:rPr>
        <w:t>罗家路一期、后湖二期、金银潭、</w:t>
      </w:r>
      <w:r>
        <w:rPr>
          <w:sz w:val="32"/>
          <w:szCs w:val="32"/>
        </w:rPr>
        <w:t>鲁湖</w:t>
      </w:r>
      <w:r>
        <w:rPr>
          <w:rFonts w:hint="eastAsia"/>
          <w:sz w:val="32"/>
          <w:szCs w:val="32"/>
        </w:rPr>
        <w:t>、石洋等泵站，全面提升排涝能力</w:t>
      </w:r>
      <w:r>
        <w:rPr>
          <w:sz w:val="32"/>
          <w:szCs w:val="32"/>
        </w:rPr>
        <w:t>。进一步深入研究汉口深隧系统工程、大东湖污水深隧双通道及延伸支隧工程等重点区域深层排水隧道建设的必要性和可行性，为实现重点区域有效应对50～100年一遇降雨打下基础。</w:t>
      </w:r>
    </w:p>
    <w:p>
      <w:pPr>
        <w:pStyle w:val="3"/>
        <w:pageBreakBefore w:val="0"/>
        <w:numPr>
          <w:ilvl w:val="1"/>
          <w:numId w:val="0"/>
        </w:numPr>
        <w:kinsoku/>
        <w:wordWrap/>
        <w:overflowPunct/>
        <w:topLinePunct w:val="0"/>
        <w:autoSpaceDE/>
        <w:autoSpaceDN/>
        <w:bidi w:val="0"/>
        <w:adjustRightInd/>
        <w:snapToGrid/>
        <w:spacing w:before="312" w:line="540" w:lineRule="exact"/>
        <w:ind w:left="710" w:leftChars="0"/>
        <w:textAlignment w:val="auto"/>
        <w:rPr>
          <w:rFonts w:hint="eastAsia" w:ascii="楷体" w:hAnsi="楷体" w:eastAsia="楷体" w:cs="楷体"/>
          <w:b/>
          <w:bCs w:val="0"/>
          <w:sz w:val="32"/>
          <w:szCs w:val="32"/>
        </w:rPr>
      </w:pPr>
      <w:r>
        <w:rPr>
          <w:rFonts w:hint="eastAsia" w:ascii="楷体" w:hAnsi="楷体" w:eastAsia="楷体" w:cs="楷体"/>
          <w:b/>
          <w:bCs w:val="0"/>
          <w:sz w:val="32"/>
          <w:szCs w:val="32"/>
          <w:lang w:eastAsia="zh-CN"/>
        </w:rPr>
        <w:t>（三）</w:t>
      </w:r>
      <w:r>
        <w:rPr>
          <w:rFonts w:hint="eastAsia" w:ascii="楷体" w:hAnsi="楷体" w:eastAsia="楷体" w:cs="楷体"/>
          <w:b/>
          <w:bCs w:val="0"/>
          <w:sz w:val="32"/>
          <w:szCs w:val="32"/>
        </w:rPr>
        <w:t>构建水清岸绿、截污控源的水环境水生态体系</w:t>
      </w:r>
    </w:p>
    <w:p>
      <w:pPr>
        <w:pStyle w:val="4"/>
        <w:pageBreakBefore w:val="0"/>
        <w:kinsoku/>
        <w:wordWrap/>
        <w:overflowPunct/>
        <w:topLinePunct w:val="0"/>
        <w:autoSpaceDE/>
        <w:autoSpaceDN/>
        <w:bidi w:val="0"/>
        <w:adjustRightInd/>
        <w:snapToGrid/>
        <w:spacing w:line="540" w:lineRule="exact"/>
        <w:textAlignment w:val="auto"/>
        <w:rPr>
          <w:sz w:val="32"/>
          <w:szCs w:val="32"/>
        </w:rPr>
      </w:pPr>
      <w:r>
        <w:rPr>
          <w:rFonts w:hint="eastAsia"/>
          <w:sz w:val="32"/>
          <w:szCs w:val="32"/>
        </w:rPr>
        <w:t>深入贯彻新发展理念，坚持“综合治理、系统治理、源头治理”的思路，坚定不移地推进流域水环境治理。重点实施“三湖三河”等七大重点流域治理，统筹实施全市</w:t>
      </w:r>
      <w:r>
        <w:rPr>
          <w:sz w:val="32"/>
          <w:szCs w:val="32"/>
        </w:rPr>
        <w:t>17个流域水环境治理工作</w:t>
      </w:r>
      <w:r>
        <w:rPr>
          <w:rFonts w:hint="eastAsia"/>
          <w:sz w:val="32"/>
          <w:szCs w:val="32"/>
        </w:rPr>
        <w:t>，</w:t>
      </w:r>
      <w:r>
        <w:rPr>
          <w:sz w:val="32"/>
          <w:szCs w:val="32"/>
        </w:rPr>
        <w:t>按照“补短、赋能、提质、增效”的思路，坚定不移地推进水环境治理能力大幅提升。持续推进污水处理厂新改扩建工作，全面提升城镇污水处理能力，完善空白区管网建设，加快实现城镇污水系统提质增效，加强雨季溢流及面源污染控制，提高污泥处置能力。推进湖区生态修复以及动态生态水网构建，加强滨水岸线生态建设</w:t>
      </w:r>
      <w:r>
        <w:rPr>
          <w:rFonts w:hint="eastAsia"/>
          <w:sz w:val="32"/>
          <w:szCs w:val="32"/>
        </w:rPr>
        <w:t>，加强水土流失综合治理。</w:t>
      </w:r>
    </w:p>
    <w:p>
      <w:pPr>
        <w:pStyle w:val="4"/>
        <w:pageBreakBefore w:val="0"/>
        <w:kinsoku/>
        <w:wordWrap/>
        <w:overflowPunct/>
        <w:topLinePunct w:val="0"/>
        <w:autoSpaceDE/>
        <w:autoSpaceDN/>
        <w:bidi w:val="0"/>
        <w:adjustRightInd/>
        <w:snapToGrid/>
        <w:spacing w:line="540" w:lineRule="exact"/>
        <w:textAlignment w:val="auto"/>
        <w:rPr>
          <w:sz w:val="32"/>
          <w:szCs w:val="32"/>
        </w:rPr>
      </w:pPr>
      <w:r>
        <w:rPr>
          <w:rFonts w:hint="eastAsia"/>
          <w:sz w:val="32"/>
          <w:szCs w:val="32"/>
        </w:rPr>
        <w:t>十四五期间，进一步落实市委市政府关于湖泊水环境治理提升工作的部署要求</w:t>
      </w:r>
      <w:r>
        <w:rPr>
          <w:rFonts w:hint="eastAsia"/>
          <w:color w:val="auto"/>
          <w:sz w:val="32"/>
          <w:szCs w:val="32"/>
        </w:rPr>
        <w:t>，重点针对黄家湖、青菱湖、野芷湖、杨春湖等</w:t>
      </w:r>
      <w:r>
        <w:rPr>
          <w:color w:val="auto"/>
          <w:sz w:val="32"/>
          <w:szCs w:val="32"/>
        </w:rPr>
        <w:t>65个湖泊实施水质提升工作，结合流域现状及湖</w:t>
      </w:r>
      <w:r>
        <w:rPr>
          <w:rFonts w:hint="eastAsia"/>
          <w:color w:val="auto"/>
          <w:sz w:val="32"/>
          <w:szCs w:val="32"/>
        </w:rPr>
        <w:t>泊</w:t>
      </w:r>
      <w:r>
        <w:rPr>
          <w:color w:val="auto"/>
          <w:sz w:val="32"/>
          <w:szCs w:val="32"/>
        </w:rPr>
        <w:t>特点，按照城市调蓄型湖泊、</w:t>
      </w:r>
      <w:r>
        <w:rPr>
          <w:rFonts w:hint="eastAsia"/>
          <w:color w:val="auto"/>
          <w:sz w:val="32"/>
          <w:szCs w:val="32"/>
        </w:rPr>
        <w:t>郊野</w:t>
      </w:r>
      <w:r>
        <w:rPr>
          <w:color w:val="auto"/>
          <w:sz w:val="32"/>
          <w:szCs w:val="32"/>
        </w:rPr>
        <w:t>型湖泊、生态景观型湖泊分类实策，通过截污控污、管网改造维护、入湖排口整治、入湖港渠整治、湖泊清淤疏浚、农村面源污染治理、</w:t>
      </w:r>
      <w:r>
        <w:rPr>
          <w:sz w:val="32"/>
          <w:szCs w:val="32"/>
        </w:rPr>
        <w:t>水生态修复、湖泊长效管理等八大工程及管理措施，实现湖泊水质整体稳定向好。城市调蓄型湖泊汛期确保防涝安全，着力控制溢流污染，基本满足城市景观水体要求；郊野型和生态景观型湖泊水质及富营养化程度改善，水质逐步达到</w:t>
      </w:r>
      <w:r>
        <w:rPr>
          <w:rFonts w:hint="eastAsia"/>
          <w:sz w:val="32"/>
          <w:szCs w:val="32"/>
        </w:rPr>
        <w:t>Ⅳ类。</w:t>
      </w:r>
    </w:p>
    <w:p>
      <w:pPr>
        <w:pStyle w:val="4"/>
        <w:pageBreakBefore w:val="0"/>
        <w:kinsoku/>
        <w:wordWrap/>
        <w:overflowPunct/>
        <w:topLinePunct w:val="0"/>
        <w:autoSpaceDE/>
        <w:autoSpaceDN/>
        <w:bidi w:val="0"/>
        <w:adjustRightInd/>
        <w:snapToGrid/>
        <w:spacing w:line="540" w:lineRule="exact"/>
        <w:textAlignment w:val="auto"/>
        <w:rPr>
          <w:sz w:val="32"/>
          <w:szCs w:val="32"/>
        </w:rPr>
      </w:pPr>
      <w:r>
        <w:rPr>
          <w:rFonts w:hint="eastAsia"/>
          <w:sz w:val="32"/>
          <w:szCs w:val="32"/>
        </w:rPr>
        <w:t>进一步提高城市污水处理厂处理能力，全市新建长江新城谌家矶再生水厂、铁桥、武泰闸污水处理厂、前川二期、藏龙岛、通津等</w:t>
      </w:r>
      <w:r>
        <w:rPr>
          <w:sz w:val="32"/>
          <w:szCs w:val="32"/>
        </w:rPr>
        <w:t>污水处理厂，改扩建三金潭、汉西、南太子湖等污水处理厂。</w:t>
      </w:r>
    </w:p>
    <w:p>
      <w:pPr>
        <w:pStyle w:val="4"/>
        <w:pageBreakBefore w:val="0"/>
        <w:kinsoku/>
        <w:wordWrap/>
        <w:overflowPunct/>
        <w:topLinePunct w:val="0"/>
        <w:autoSpaceDE/>
        <w:autoSpaceDN/>
        <w:bidi w:val="0"/>
        <w:adjustRightInd/>
        <w:snapToGrid/>
        <w:spacing w:line="540" w:lineRule="exact"/>
        <w:textAlignment w:val="auto"/>
        <w:rPr>
          <w:sz w:val="32"/>
          <w:szCs w:val="32"/>
        </w:rPr>
      </w:pPr>
      <w:r>
        <w:rPr>
          <w:rFonts w:hint="eastAsia"/>
          <w:sz w:val="32"/>
          <w:szCs w:val="32"/>
        </w:rPr>
        <w:t>重点推进汉口中心片（汉口沿江、沿河以及谌家矶）、汉阳中心片（汉阳沿江、沿河）、武昌中心片（武昌临江、港西、青山镇、工业港、罗家路）以及新城区污水管网完善工程，补齐空白管网。结合市政排水管线混错接与隐患点改造工程，分批分阶段落实地块雨污分流改造工程。</w:t>
      </w:r>
    </w:p>
    <w:p>
      <w:pPr>
        <w:pStyle w:val="3"/>
        <w:pageBreakBefore w:val="0"/>
        <w:numPr>
          <w:ilvl w:val="1"/>
          <w:numId w:val="0"/>
        </w:numPr>
        <w:kinsoku/>
        <w:wordWrap/>
        <w:overflowPunct/>
        <w:topLinePunct w:val="0"/>
        <w:autoSpaceDE/>
        <w:autoSpaceDN/>
        <w:bidi w:val="0"/>
        <w:adjustRightInd/>
        <w:snapToGrid/>
        <w:spacing w:before="312" w:line="540" w:lineRule="exact"/>
        <w:ind w:left="710" w:leftChars="0"/>
        <w:textAlignment w:val="auto"/>
        <w:rPr>
          <w:rFonts w:hint="eastAsia" w:ascii="楷体" w:hAnsi="楷体" w:eastAsia="楷体" w:cs="楷体"/>
          <w:b/>
          <w:bCs w:val="0"/>
          <w:sz w:val="32"/>
          <w:szCs w:val="32"/>
        </w:rPr>
      </w:pPr>
      <w:r>
        <w:rPr>
          <w:rFonts w:hint="eastAsia" w:ascii="楷体" w:hAnsi="楷体" w:eastAsia="楷体" w:cs="楷体"/>
          <w:b/>
          <w:bCs w:val="0"/>
          <w:sz w:val="32"/>
          <w:szCs w:val="32"/>
          <w:lang w:eastAsia="zh-CN"/>
        </w:rPr>
        <w:t>（四）</w:t>
      </w:r>
      <w:r>
        <w:rPr>
          <w:rFonts w:hint="eastAsia" w:ascii="楷体" w:hAnsi="楷体" w:eastAsia="楷体" w:cs="楷体"/>
          <w:b/>
          <w:bCs w:val="0"/>
          <w:sz w:val="32"/>
          <w:szCs w:val="32"/>
        </w:rPr>
        <w:t>建城乡一体化、多源互补的供水保障体系</w:t>
      </w:r>
    </w:p>
    <w:p>
      <w:pPr>
        <w:pStyle w:val="4"/>
        <w:pageBreakBefore w:val="0"/>
        <w:kinsoku/>
        <w:wordWrap/>
        <w:overflowPunct/>
        <w:topLinePunct w:val="0"/>
        <w:autoSpaceDE/>
        <w:autoSpaceDN/>
        <w:bidi w:val="0"/>
        <w:adjustRightInd/>
        <w:snapToGrid/>
        <w:spacing w:line="540" w:lineRule="exact"/>
        <w:textAlignment w:val="auto"/>
        <w:rPr>
          <w:sz w:val="32"/>
          <w:szCs w:val="32"/>
        </w:rPr>
      </w:pPr>
      <w:r>
        <w:rPr>
          <w:rFonts w:hint="eastAsia"/>
          <w:sz w:val="32"/>
          <w:szCs w:val="32"/>
        </w:rPr>
        <w:t>围绕“一核两区、多轴多心”城乡空间体系，优化水资源调配，增加中心城区与新城区管网的互联互通，形成应急互补、多水源联合供水格局。加强全市应急供水保障能力建设，形成“一湖五库”应急备用水源系统，强力推进江南以及江北区域应急供水系统工程、新洲应急备用水源工程建设，形成完善的供水应急调度机制。以河流型饮用水水源地保护为主，持续强化饮用水水源地保护，提高监测预警能力，提升供水系统抵御风险的能力。</w:t>
      </w:r>
    </w:p>
    <w:p>
      <w:pPr>
        <w:pStyle w:val="4"/>
        <w:pageBreakBefore w:val="0"/>
        <w:kinsoku/>
        <w:wordWrap/>
        <w:overflowPunct/>
        <w:topLinePunct w:val="0"/>
        <w:autoSpaceDE/>
        <w:autoSpaceDN/>
        <w:bidi w:val="0"/>
        <w:adjustRightInd/>
        <w:snapToGrid/>
        <w:spacing w:line="540" w:lineRule="exact"/>
        <w:textAlignment w:val="auto"/>
        <w:rPr>
          <w:sz w:val="32"/>
          <w:szCs w:val="32"/>
        </w:rPr>
      </w:pPr>
      <w:r>
        <w:rPr>
          <w:rFonts w:hint="eastAsia"/>
          <w:sz w:val="32"/>
          <w:szCs w:val="32"/>
        </w:rPr>
        <w:t>十四五期间，重点推进老堤角水厂、</w:t>
      </w:r>
      <w:r>
        <w:rPr>
          <w:sz w:val="32"/>
          <w:szCs w:val="32"/>
        </w:rPr>
        <w:t>蔡甸水厂</w:t>
      </w:r>
      <w:r>
        <w:rPr>
          <w:rFonts w:hint="eastAsia"/>
          <w:sz w:val="32"/>
          <w:szCs w:val="32"/>
        </w:rPr>
        <w:t>、阳逻二水厂、宗关水厂等水厂新改扩建工程，对中心城区现有水厂供水规模及服务范围进行科学统筹和合理调整。完成中心城区居民住宅泵房、供水庭院地管、供水立管、楼顶水箱等二次供水设施改造，完成新城区新改建供水管网</w:t>
      </w:r>
      <w:r>
        <w:rPr>
          <w:sz w:val="32"/>
          <w:szCs w:val="32"/>
        </w:rPr>
        <w:t>，居民住宅泵房、供水庭院地管、供水立管、楼顶水箱等二次供水设施改造参照中心城区逐年完成</w:t>
      </w:r>
      <w:r>
        <w:rPr>
          <w:rFonts w:hint="eastAsia"/>
          <w:sz w:val="32"/>
          <w:szCs w:val="32"/>
        </w:rPr>
        <w:t>。</w:t>
      </w:r>
    </w:p>
    <w:p>
      <w:pPr>
        <w:pStyle w:val="4"/>
        <w:pageBreakBefore w:val="0"/>
        <w:kinsoku/>
        <w:wordWrap/>
        <w:overflowPunct/>
        <w:topLinePunct w:val="0"/>
        <w:autoSpaceDE/>
        <w:autoSpaceDN/>
        <w:bidi w:val="0"/>
        <w:adjustRightInd/>
        <w:snapToGrid/>
        <w:spacing w:line="540" w:lineRule="exact"/>
        <w:textAlignment w:val="auto"/>
        <w:rPr>
          <w:sz w:val="32"/>
          <w:szCs w:val="32"/>
        </w:rPr>
      </w:pPr>
      <w:r>
        <w:rPr>
          <w:rFonts w:hint="eastAsia"/>
          <w:sz w:val="32"/>
          <w:szCs w:val="32"/>
        </w:rPr>
        <w:t>为提高供水系统运行安全、保障事故期基本用水、实现备用水源的应急调度和大中型水厂之间的联动、互备，“十四五”期间，根据长江源水变化情况，新建江南区域应急供水系统工程、江北区域应急供水系统工程、新洲应急备用水源工程，增加中心城区和新城区供水系统间连通管道，形成应急互补。</w:t>
      </w:r>
    </w:p>
    <w:p>
      <w:pPr>
        <w:pStyle w:val="4"/>
        <w:pageBreakBefore w:val="0"/>
        <w:kinsoku/>
        <w:wordWrap/>
        <w:overflowPunct/>
        <w:topLinePunct w:val="0"/>
        <w:autoSpaceDE/>
        <w:autoSpaceDN/>
        <w:bidi w:val="0"/>
        <w:adjustRightInd/>
        <w:snapToGrid/>
        <w:spacing w:line="540" w:lineRule="exact"/>
        <w:textAlignment w:val="auto"/>
        <w:rPr>
          <w:sz w:val="32"/>
          <w:szCs w:val="32"/>
        </w:rPr>
      </w:pPr>
      <w:r>
        <w:rPr>
          <w:rFonts w:hint="eastAsia"/>
          <w:sz w:val="32"/>
          <w:szCs w:val="32"/>
        </w:rPr>
        <w:t>规划在我市可封闭运行或高端发展区域开展武汉市优质饮用水（直饮水）试点项目，开展水源提质及管网建设。</w:t>
      </w:r>
    </w:p>
    <w:p>
      <w:pPr>
        <w:pStyle w:val="3"/>
        <w:pageBreakBefore w:val="0"/>
        <w:numPr>
          <w:ilvl w:val="1"/>
          <w:numId w:val="0"/>
        </w:numPr>
        <w:kinsoku/>
        <w:wordWrap/>
        <w:overflowPunct/>
        <w:topLinePunct w:val="0"/>
        <w:autoSpaceDE/>
        <w:autoSpaceDN/>
        <w:bidi w:val="0"/>
        <w:adjustRightInd/>
        <w:snapToGrid/>
        <w:spacing w:before="312" w:line="540" w:lineRule="exact"/>
        <w:ind w:left="710" w:leftChars="0"/>
        <w:textAlignment w:val="auto"/>
        <w:rPr>
          <w:rFonts w:hint="eastAsia" w:ascii="楷体" w:hAnsi="楷体" w:eastAsia="楷体" w:cs="楷体"/>
          <w:b/>
          <w:bCs w:val="0"/>
          <w:sz w:val="32"/>
          <w:szCs w:val="32"/>
        </w:rPr>
      </w:pPr>
      <w:r>
        <w:rPr>
          <w:rFonts w:hint="eastAsia" w:ascii="楷体" w:hAnsi="楷体" w:eastAsia="楷体" w:cs="楷体"/>
          <w:b/>
          <w:bCs w:val="0"/>
          <w:sz w:val="32"/>
          <w:szCs w:val="32"/>
          <w:lang w:eastAsia="zh-CN"/>
        </w:rPr>
        <w:t>（五）</w:t>
      </w:r>
      <w:r>
        <w:rPr>
          <w:rFonts w:hint="eastAsia" w:ascii="楷体" w:hAnsi="楷体" w:eastAsia="楷体" w:cs="楷体"/>
          <w:b/>
          <w:bCs w:val="0"/>
          <w:sz w:val="32"/>
          <w:szCs w:val="32"/>
        </w:rPr>
        <w:t>构建总量控制、用水高效的节水体系</w:t>
      </w:r>
    </w:p>
    <w:p>
      <w:pPr>
        <w:pStyle w:val="4"/>
        <w:pageBreakBefore w:val="0"/>
        <w:kinsoku/>
        <w:wordWrap/>
        <w:overflowPunct/>
        <w:topLinePunct w:val="0"/>
        <w:autoSpaceDE/>
        <w:autoSpaceDN/>
        <w:bidi w:val="0"/>
        <w:adjustRightInd/>
        <w:snapToGrid/>
        <w:spacing w:line="540" w:lineRule="exact"/>
        <w:textAlignment w:val="auto"/>
        <w:rPr>
          <w:sz w:val="32"/>
          <w:szCs w:val="32"/>
        </w:rPr>
      </w:pPr>
      <w:r>
        <w:rPr>
          <w:rFonts w:hint="eastAsia"/>
          <w:sz w:val="32"/>
          <w:szCs w:val="32"/>
        </w:rPr>
        <w:t>以“法规先导、深度节水、设施支撑、精细管理、科技引领、载体带动”为节水路线，深入推进节水型社会建设，加强水资源“取供用耗排”全过程管理，强化水资源循环利用，提高水资源利用效率和效益。进一步推动工业节水增效，开展水平衡测试和用水计量管理，通过载体建设，提升全社会节水参与度。加强水资源综合循环利用典型示范区建设，以长江新城为依托，加快建设谌家矶再生水厂工程建设。以乡村振兴战略为指导，农业节水为突破口，灌溉新技术为支撑，规模化推进农业高效节水。</w:t>
      </w:r>
    </w:p>
    <w:p>
      <w:pPr>
        <w:pStyle w:val="4"/>
        <w:pageBreakBefore w:val="0"/>
        <w:kinsoku/>
        <w:wordWrap/>
        <w:overflowPunct/>
        <w:topLinePunct w:val="0"/>
        <w:autoSpaceDE/>
        <w:autoSpaceDN/>
        <w:bidi w:val="0"/>
        <w:adjustRightInd/>
        <w:snapToGrid/>
        <w:spacing w:line="540" w:lineRule="exact"/>
        <w:textAlignment w:val="auto"/>
        <w:rPr>
          <w:sz w:val="32"/>
          <w:szCs w:val="32"/>
        </w:rPr>
      </w:pPr>
      <w:r>
        <w:rPr>
          <w:rFonts w:hint="eastAsia"/>
          <w:sz w:val="32"/>
          <w:szCs w:val="32"/>
        </w:rPr>
        <w:t>“十四五”期间，以乡村振兴战略为指导，农业节水为突破口，重点实施梅院泥灌区、举水灌区、夏家寺灌区等大中型灌区续建配套与现代化建设，主要建设内容包括灌区内骨干渠道整治、渠系建筑物配套完善、灌排泵站更新改造、灌溉信息化监测调度设施建设等。同时，按照山水林田湖草系统治理的新要求，开展灌区水生态环境、水文化和景观等建设，改善灌区水生态环境，助力美丽乡村建设。</w:t>
      </w:r>
    </w:p>
    <w:p>
      <w:pPr>
        <w:pStyle w:val="4"/>
        <w:pageBreakBefore w:val="0"/>
        <w:kinsoku/>
        <w:wordWrap/>
        <w:overflowPunct/>
        <w:topLinePunct w:val="0"/>
        <w:autoSpaceDE/>
        <w:autoSpaceDN/>
        <w:bidi w:val="0"/>
        <w:adjustRightInd/>
        <w:snapToGrid/>
        <w:spacing w:line="540" w:lineRule="exact"/>
        <w:textAlignment w:val="auto"/>
        <w:rPr>
          <w:sz w:val="32"/>
          <w:szCs w:val="32"/>
        </w:rPr>
      </w:pPr>
      <w:r>
        <w:rPr>
          <w:rFonts w:hint="eastAsia"/>
          <w:sz w:val="32"/>
          <w:szCs w:val="32"/>
        </w:rPr>
        <w:t>以移民征收致富为中心，狠抓移民村产业发展，促进移民美丽家园建设，建成一批“规划建设有序，村容村貌整洁，配套设施齐全，生态环境优美，乡风文明和睦，经济持续发展”的移民美景家园样板村。以美好移民村示范建设为抓手，着力促进水利工程建设移民产业发展，顺应移民在搬迁后对美好生活的期盼，助力乡村振兴。</w:t>
      </w:r>
    </w:p>
    <w:p>
      <w:pPr>
        <w:pStyle w:val="2"/>
        <w:pageBreakBefore w:val="0"/>
        <w:numPr>
          <w:ilvl w:val="0"/>
          <w:numId w:val="0"/>
        </w:numPr>
        <w:kinsoku/>
        <w:wordWrap/>
        <w:overflowPunct/>
        <w:topLinePunct w:val="0"/>
        <w:autoSpaceDE/>
        <w:autoSpaceDN/>
        <w:bidi w:val="0"/>
        <w:adjustRightInd/>
        <w:snapToGrid/>
        <w:spacing w:line="540" w:lineRule="exact"/>
        <w:ind w:leftChars="0" w:firstLine="643"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水务综合管理体系规划任务</w:t>
      </w:r>
    </w:p>
    <w:p>
      <w:pPr>
        <w:pStyle w:val="4"/>
        <w:pageBreakBefore w:val="0"/>
        <w:kinsoku/>
        <w:wordWrap/>
        <w:overflowPunct/>
        <w:topLinePunct w:val="0"/>
        <w:autoSpaceDE/>
        <w:autoSpaceDN/>
        <w:bidi w:val="0"/>
        <w:adjustRightInd/>
        <w:snapToGrid/>
        <w:spacing w:line="540" w:lineRule="exact"/>
        <w:textAlignment w:val="auto"/>
        <w:rPr>
          <w:sz w:val="32"/>
          <w:szCs w:val="32"/>
        </w:rPr>
      </w:pPr>
      <w:r>
        <w:rPr>
          <w:rFonts w:hint="eastAsia"/>
          <w:sz w:val="32"/>
          <w:szCs w:val="32"/>
        </w:rPr>
        <w:t>“十四五”期间，依托防洪保障体系、城市防涝体系、水生态环境体系、供水体系和节水体系五大工程体系总体布局，以保障水安全、完善水法治、强化水监管为重点，以体制机制和科技创新为动力，以水务信息化建设为手段，建设集“安全水务、法治水务、水务监管、创新水务、文化水务、智慧水务”为一体的水务综合管理体系，推进水务治理体系和治理能力现代化。</w:t>
      </w:r>
    </w:p>
    <w:p>
      <w:pPr>
        <w:pStyle w:val="4"/>
        <w:pageBreakBefore w:val="0"/>
        <w:kinsoku/>
        <w:wordWrap/>
        <w:overflowPunct/>
        <w:topLinePunct w:val="0"/>
        <w:autoSpaceDE/>
        <w:autoSpaceDN/>
        <w:bidi w:val="0"/>
        <w:adjustRightInd/>
        <w:snapToGrid/>
        <w:spacing w:line="540" w:lineRule="exact"/>
        <w:ind w:firstLine="562"/>
        <w:textAlignment w:val="auto"/>
        <w:rPr>
          <w:rFonts w:hint="eastAsia" w:ascii="楷体" w:hAnsi="楷体" w:eastAsia="楷体" w:cs="楷体"/>
          <w:b/>
          <w:sz w:val="32"/>
          <w:szCs w:val="32"/>
        </w:rPr>
      </w:pPr>
      <w:r>
        <w:rPr>
          <w:rFonts w:hint="eastAsia" w:ascii="楷体" w:hAnsi="楷体" w:eastAsia="楷体" w:cs="楷体"/>
          <w:b/>
          <w:sz w:val="32"/>
          <w:szCs w:val="32"/>
          <w:lang w:eastAsia="zh-CN"/>
        </w:rPr>
        <w:t>（一）</w:t>
      </w:r>
      <w:r>
        <w:rPr>
          <w:rFonts w:hint="eastAsia" w:ascii="楷体" w:hAnsi="楷体" w:eastAsia="楷体" w:cs="楷体"/>
          <w:b/>
          <w:sz w:val="32"/>
          <w:szCs w:val="32"/>
        </w:rPr>
        <w:t>更具保障的安全水务体系</w:t>
      </w:r>
    </w:p>
    <w:p>
      <w:pPr>
        <w:pStyle w:val="4"/>
        <w:pageBreakBefore w:val="0"/>
        <w:kinsoku/>
        <w:wordWrap/>
        <w:overflowPunct/>
        <w:topLinePunct w:val="0"/>
        <w:autoSpaceDE/>
        <w:autoSpaceDN/>
        <w:bidi w:val="0"/>
        <w:adjustRightInd/>
        <w:snapToGrid/>
        <w:spacing w:line="540" w:lineRule="exact"/>
        <w:textAlignment w:val="auto"/>
        <w:rPr>
          <w:sz w:val="32"/>
          <w:szCs w:val="32"/>
        </w:rPr>
      </w:pPr>
      <w:r>
        <w:rPr>
          <w:rFonts w:hint="eastAsia"/>
          <w:sz w:val="32"/>
          <w:szCs w:val="32"/>
        </w:rPr>
        <w:t>在“十三五”基础上，以强化应急调度为重点，加强河湖水系水量</w:t>
      </w:r>
      <w:r>
        <w:rPr>
          <w:sz w:val="32"/>
          <w:szCs w:val="32"/>
        </w:rPr>
        <w:t>-水质-水生态联合优化调度研究，完善排涝调度方案和生态调度方案，同时修订防洪排涝供水应急预案，结合水安全保障工程措施以及监测预警与智能决策信息化手段，形成事前能预防、事发能响应、事中能处置的水安全应急保障体系，武汉市水安全应急保障更为有力。</w:t>
      </w:r>
    </w:p>
    <w:p>
      <w:pPr>
        <w:pStyle w:val="4"/>
        <w:pageBreakBefore w:val="0"/>
        <w:kinsoku/>
        <w:wordWrap/>
        <w:overflowPunct/>
        <w:topLinePunct w:val="0"/>
        <w:autoSpaceDE/>
        <w:autoSpaceDN/>
        <w:bidi w:val="0"/>
        <w:adjustRightInd/>
        <w:snapToGrid/>
        <w:spacing w:line="540" w:lineRule="exact"/>
        <w:ind w:firstLine="562"/>
        <w:textAlignment w:val="auto"/>
        <w:rPr>
          <w:rFonts w:hint="eastAsia" w:ascii="楷体" w:hAnsi="楷体" w:eastAsia="楷体" w:cs="楷体"/>
          <w:b/>
          <w:sz w:val="32"/>
          <w:szCs w:val="32"/>
        </w:rPr>
      </w:pPr>
      <w:r>
        <w:rPr>
          <w:rFonts w:hint="eastAsia" w:ascii="楷体" w:hAnsi="楷体" w:eastAsia="楷体" w:cs="楷体"/>
          <w:b/>
          <w:sz w:val="32"/>
          <w:szCs w:val="32"/>
          <w:lang w:eastAsia="zh-CN"/>
        </w:rPr>
        <w:t>（二）</w:t>
      </w:r>
      <w:r>
        <w:rPr>
          <w:rFonts w:hint="eastAsia" w:ascii="楷体" w:hAnsi="楷体" w:eastAsia="楷体" w:cs="楷体"/>
          <w:b/>
          <w:sz w:val="32"/>
          <w:szCs w:val="32"/>
        </w:rPr>
        <w:t>更加完善的法治水务体系</w:t>
      </w:r>
    </w:p>
    <w:p>
      <w:pPr>
        <w:pStyle w:val="4"/>
        <w:pageBreakBefore w:val="0"/>
        <w:kinsoku/>
        <w:wordWrap/>
        <w:overflowPunct/>
        <w:topLinePunct w:val="0"/>
        <w:autoSpaceDE/>
        <w:autoSpaceDN/>
        <w:bidi w:val="0"/>
        <w:adjustRightInd/>
        <w:snapToGrid/>
        <w:spacing w:line="540" w:lineRule="exact"/>
        <w:textAlignment w:val="auto"/>
        <w:rPr>
          <w:sz w:val="32"/>
          <w:szCs w:val="32"/>
        </w:rPr>
      </w:pPr>
      <w:r>
        <w:rPr>
          <w:rFonts w:hint="eastAsia"/>
          <w:sz w:val="32"/>
          <w:szCs w:val="32"/>
        </w:rPr>
        <w:t>在“十三五”基础上，以提升水行政执法能力为重点，加强水行政执法队伍建设，完善水行政联合执法机制，创新水行政执法手段，规范水行政执法行为，并开展重点领域立法，进一步完善法规政策，突出规划引领，强化规划约束，形成水法律规范、实施高效、监督严密的依法治水体系。</w:t>
      </w:r>
    </w:p>
    <w:p>
      <w:pPr>
        <w:pStyle w:val="4"/>
        <w:pageBreakBefore w:val="0"/>
        <w:kinsoku/>
        <w:wordWrap/>
        <w:overflowPunct/>
        <w:topLinePunct w:val="0"/>
        <w:autoSpaceDE/>
        <w:autoSpaceDN/>
        <w:bidi w:val="0"/>
        <w:adjustRightInd/>
        <w:snapToGrid/>
        <w:spacing w:line="540" w:lineRule="exact"/>
        <w:ind w:firstLine="562"/>
        <w:textAlignment w:val="auto"/>
        <w:rPr>
          <w:rFonts w:hint="eastAsia" w:ascii="楷体" w:hAnsi="楷体" w:eastAsia="楷体" w:cs="楷体"/>
          <w:sz w:val="32"/>
          <w:szCs w:val="32"/>
        </w:rPr>
      </w:pPr>
      <w:r>
        <w:rPr>
          <w:rFonts w:hint="eastAsia" w:ascii="楷体" w:hAnsi="楷体" w:eastAsia="楷体" w:cs="楷体"/>
          <w:b/>
          <w:sz w:val="32"/>
          <w:szCs w:val="32"/>
          <w:lang w:eastAsia="zh-CN"/>
        </w:rPr>
        <w:t>（三）</w:t>
      </w:r>
      <w:r>
        <w:rPr>
          <w:rFonts w:hint="eastAsia" w:ascii="楷体" w:hAnsi="楷体" w:eastAsia="楷体" w:cs="楷体"/>
          <w:b/>
          <w:sz w:val="32"/>
          <w:szCs w:val="32"/>
        </w:rPr>
        <w:t>更加严格的水务监管体系</w:t>
      </w:r>
    </w:p>
    <w:p>
      <w:pPr>
        <w:pStyle w:val="4"/>
        <w:pageBreakBefore w:val="0"/>
        <w:kinsoku/>
        <w:wordWrap/>
        <w:overflowPunct/>
        <w:topLinePunct w:val="0"/>
        <w:autoSpaceDE/>
        <w:autoSpaceDN/>
        <w:bidi w:val="0"/>
        <w:adjustRightInd/>
        <w:snapToGrid/>
        <w:spacing w:line="540" w:lineRule="exact"/>
        <w:textAlignment w:val="auto"/>
        <w:rPr>
          <w:sz w:val="32"/>
          <w:szCs w:val="32"/>
        </w:rPr>
      </w:pPr>
      <w:r>
        <w:rPr>
          <w:rFonts w:hint="eastAsia"/>
          <w:sz w:val="32"/>
          <w:szCs w:val="32"/>
        </w:rPr>
        <w:t>积极践行水利行业强监管总基调，贯彻落实最严格水资源管理制度，继续全面推进河湖长制，加强江河湖库、水资源、水土保持、水务工程监管，从制度建设、日常监管、管理能力三方面着手，实现水务监管常态化、监管手段现代化、监管队伍专业化，提高武汉市水务行业监管能力和水平。</w:t>
      </w:r>
    </w:p>
    <w:p>
      <w:pPr>
        <w:pStyle w:val="4"/>
        <w:pageBreakBefore w:val="0"/>
        <w:kinsoku/>
        <w:wordWrap/>
        <w:overflowPunct/>
        <w:topLinePunct w:val="0"/>
        <w:autoSpaceDE/>
        <w:autoSpaceDN/>
        <w:bidi w:val="0"/>
        <w:adjustRightInd/>
        <w:snapToGrid/>
        <w:spacing w:line="540" w:lineRule="exact"/>
        <w:ind w:firstLine="562"/>
        <w:textAlignment w:val="auto"/>
        <w:rPr>
          <w:rFonts w:hint="eastAsia" w:ascii="楷体" w:hAnsi="楷体" w:eastAsia="楷体" w:cs="楷体"/>
          <w:b/>
          <w:sz w:val="32"/>
          <w:szCs w:val="32"/>
        </w:rPr>
      </w:pPr>
      <w:r>
        <w:rPr>
          <w:rFonts w:hint="eastAsia" w:ascii="楷体" w:hAnsi="楷体" w:eastAsia="楷体" w:cs="楷体"/>
          <w:b/>
          <w:sz w:val="32"/>
          <w:szCs w:val="32"/>
          <w:lang w:eastAsia="zh-CN"/>
        </w:rPr>
        <w:t>（四）</w:t>
      </w:r>
      <w:r>
        <w:rPr>
          <w:rFonts w:hint="eastAsia" w:ascii="楷体" w:hAnsi="楷体" w:eastAsia="楷体" w:cs="楷体"/>
          <w:b/>
          <w:sz w:val="32"/>
          <w:szCs w:val="32"/>
        </w:rPr>
        <w:t>更高质量的创新水务体系</w:t>
      </w:r>
    </w:p>
    <w:p>
      <w:pPr>
        <w:pStyle w:val="4"/>
        <w:pageBreakBefore w:val="0"/>
        <w:kinsoku/>
        <w:wordWrap/>
        <w:overflowPunct/>
        <w:topLinePunct w:val="0"/>
        <w:autoSpaceDE/>
        <w:autoSpaceDN/>
        <w:bidi w:val="0"/>
        <w:adjustRightInd/>
        <w:snapToGrid/>
        <w:spacing w:line="540" w:lineRule="exact"/>
        <w:textAlignment w:val="auto"/>
        <w:rPr>
          <w:sz w:val="32"/>
          <w:szCs w:val="32"/>
        </w:rPr>
      </w:pPr>
      <w:r>
        <w:rPr>
          <w:rFonts w:hint="eastAsia"/>
          <w:sz w:val="32"/>
          <w:szCs w:val="32"/>
        </w:rPr>
        <w:t>立足武汉市水务管理现状，以水务管理机制创新为重点，深化供水水价和污水处理费改革，推动实施水利工程管养分离机制、河湖厂网一体化机制和河道分级管理制度，探索水务管理公众参与机制和水务投融资机制，同时兼顾重大防洪、排涝、水资源环境等领域科技创新，破解制约水务发展的机制障碍和科学技术难题。</w:t>
      </w:r>
    </w:p>
    <w:p>
      <w:pPr>
        <w:pStyle w:val="4"/>
        <w:pageBreakBefore w:val="0"/>
        <w:kinsoku/>
        <w:wordWrap/>
        <w:overflowPunct/>
        <w:topLinePunct w:val="0"/>
        <w:autoSpaceDE/>
        <w:autoSpaceDN/>
        <w:bidi w:val="0"/>
        <w:adjustRightInd/>
        <w:snapToGrid/>
        <w:spacing w:line="540" w:lineRule="exact"/>
        <w:ind w:firstLine="562"/>
        <w:textAlignment w:val="auto"/>
        <w:rPr>
          <w:rFonts w:hint="eastAsia" w:ascii="楷体" w:hAnsi="楷体" w:eastAsia="楷体" w:cs="楷体"/>
          <w:b/>
          <w:sz w:val="32"/>
          <w:szCs w:val="32"/>
        </w:rPr>
      </w:pPr>
      <w:r>
        <w:rPr>
          <w:rFonts w:hint="eastAsia" w:ascii="楷体" w:hAnsi="楷体" w:eastAsia="楷体" w:cs="楷体"/>
          <w:b/>
          <w:sz w:val="32"/>
          <w:szCs w:val="32"/>
          <w:lang w:eastAsia="zh-CN"/>
        </w:rPr>
        <w:t>（五）</w:t>
      </w:r>
      <w:r>
        <w:rPr>
          <w:rFonts w:hint="eastAsia" w:ascii="楷体" w:hAnsi="楷体" w:eastAsia="楷体" w:cs="楷体"/>
          <w:b/>
          <w:sz w:val="32"/>
          <w:szCs w:val="32"/>
        </w:rPr>
        <w:t>更具特色的文化水务体系</w:t>
      </w:r>
    </w:p>
    <w:p>
      <w:pPr>
        <w:pStyle w:val="4"/>
        <w:pageBreakBefore w:val="0"/>
        <w:kinsoku/>
        <w:wordWrap/>
        <w:overflowPunct/>
        <w:topLinePunct w:val="0"/>
        <w:autoSpaceDE/>
        <w:autoSpaceDN/>
        <w:bidi w:val="0"/>
        <w:adjustRightInd/>
        <w:snapToGrid/>
        <w:spacing w:line="540" w:lineRule="exact"/>
        <w:textAlignment w:val="auto"/>
        <w:rPr>
          <w:sz w:val="32"/>
          <w:szCs w:val="32"/>
        </w:rPr>
      </w:pPr>
      <w:r>
        <w:rPr>
          <w:rFonts w:hint="eastAsia"/>
          <w:sz w:val="32"/>
          <w:szCs w:val="32"/>
        </w:rPr>
        <w:t>在“十三五”基础上，以水文化载体建设为重点，充分利用武汉市湖泊资源，融合水文化与水利工程，打造特色的湖泊文化景观，强化水利风景区创建与品质提升，推动以武汉市丰富水文化遗产为基础的水文化产业培育，同时进一步强化水文化宣传教育，形成具有鲜明时代特征和武汉水利特色、彰显武汉历史文化底蕴的水文化体系。</w:t>
      </w:r>
    </w:p>
    <w:p>
      <w:pPr>
        <w:pStyle w:val="4"/>
        <w:pageBreakBefore w:val="0"/>
        <w:kinsoku/>
        <w:wordWrap/>
        <w:overflowPunct/>
        <w:topLinePunct w:val="0"/>
        <w:autoSpaceDE/>
        <w:autoSpaceDN/>
        <w:bidi w:val="0"/>
        <w:adjustRightInd/>
        <w:snapToGrid/>
        <w:spacing w:line="540" w:lineRule="exact"/>
        <w:ind w:firstLine="562"/>
        <w:textAlignment w:val="auto"/>
        <w:rPr>
          <w:rFonts w:hint="eastAsia" w:ascii="楷体" w:hAnsi="楷体" w:eastAsia="楷体" w:cs="楷体"/>
          <w:b/>
          <w:sz w:val="32"/>
          <w:szCs w:val="32"/>
        </w:rPr>
      </w:pPr>
      <w:r>
        <w:rPr>
          <w:rFonts w:hint="eastAsia" w:ascii="楷体" w:hAnsi="楷体" w:eastAsia="楷体" w:cs="楷体"/>
          <w:b/>
          <w:sz w:val="32"/>
          <w:szCs w:val="32"/>
          <w:lang w:eastAsia="zh-CN"/>
        </w:rPr>
        <w:t>（六）</w:t>
      </w:r>
      <w:r>
        <w:rPr>
          <w:rFonts w:hint="eastAsia" w:ascii="楷体" w:hAnsi="楷体" w:eastAsia="楷体" w:cs="楷体"/>
          <w:b/>
          <w:sz w:val="32"/>
          <w:szCs w:val="32"/>
        </w:rPr>
        <w:t>更高效能的智慧水务体系</w:t>
      </w:r>
    </w:p>
    <w:p>
      <w:pPr>
        <w:pStyle w:val="4"/>
        <w:pageBreakBefore w:val="0"/>
        <w:kinsoku/>
        <w:wordWrap/>
        <w:overflowPunct/>
        <w:topLinePunct w:val="0"/>
        <w:autoSpaceDE/>
        <w:autoSpaceDN/>
        <w:bidi w:val="0"/>
        <w:adjustRightInd/>
        <w:snapToGrid/>
        <w:spacing w:line="540" w:lineRule="exact"/>
        <w:textAlignment w:val="auto"/>
        <w:rPr>
          <w:sz w:val="32"/>
          <w:szCs w:val="32"/>
        </w:rPr>
      </w:pPr>
      <w:r>
        <w:rPr>
          <w:rFonts w:hint="eastAsia"/>
          <w:sz w:val="32"/>
          <w:szCs w:val="32"/>
        </w:rPr>
        <w:t>围绕武汉市智慧水务核心建设需求，以完善五大业务应用场景、优化基础监测设施、构建决策指挥平台为重点，根据“</w:t>
      </w:r>
      <w:r>
        <w:rPr>
          <w:sz w:val="32"/>
          <w:szCs w:val="32"/>
        </w:rPr>
        <w:t>5大应用场景，3个平台，2大基础设施，2个保障体系”的体系构架，逐步实现“一网全感知、一图知全局、一屏全指挥、一键辅决策、一证保安全”五项管控目标，武汉市水务智慧化管理初步实现。</w:t>
      </w:r>
    </w:p>
    <w:p>
      <w:pPr>
        <w:pStyle w:val="2"/>
        <w:pageBreakBefore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四、</w:t>
      </w:r>
      <w:r>
        <w:rPr>
          <w:rFonts w:hint="eastAsia" w:ascii="黑体" w:hAnsi="黑体" w:eastAsia="黑体" w:cs="黑体"/>
          <w:b w:val="0"/>
          <w:bCs w:val="0"/>
          <w:sz w:val="32"/>
          <w:szCs w:val="32"/>
        </w:rPr>
        <w:t>保障措施</w:t>
      </w:r>
    </w:p>
    <w:p>
      <w:pPr>
        <w:pStyle w:val="4"/>
        <w:pageBreakBefore w:val="0"/>
        <w:kinsoku/>
        <w:wordWrap/>
        <w:overflowPunct/>
        <w:topLinePunct w:val="0"/>
        <w:autoSpaceDE/>
        <w:autoSpaceDN/>
        <w:bidi w:val="0"/>
        <w:adjustRightInd/>
        <w:snapToGrid/>
        <w:spacing w:line="540" w:lineRule="exact"/>
        <w:textAlignment w:val="auto"/>
        <w:rPr>
          <w:sz w:val="32"/>
          <w:szCs w:val="32"/>
        </w:rPr>
      </w:pPr>
      <w:r>
        <w:rPr>
          <w:rFonts w:hint="eastAsia" w:ascii="楷体_GB2312" w:hAnsi="楷体_GB2312" w:eastAsia="楷体_GB2312" w:cs="楷体_GB2312"/>
          <w:b/>
          <w:bCs/>
          <w:sz w:val="32"/>
          <w:szCs w:val="32"/>
          <w:lang w:eastAsia="zh-CN"/>
        </w:rPr>
        <w:t>（一）</w:t>
      </w:r>
      <w:r>
        <w:rPr>
          <w:rFonts w:hint="eastAsia" w:ascii="楷体_GB2312" w:hAnsi="楷体_GB2312" w:eastAsia="楷体_GB2312" w:cs="楷体_GB2312"/>
          <w:b/>
          <w:bCs/>
          <w:sz w:val="32"/>
          <w:szCs w:val="32"/>
        </w:rPr>
        <w:t>加强组织领导，落实职责分工。</w:t>
      </w:r>
      <w:r>
        <w:rPr>
          <w:sz w:val="32"/>
          <w:szCs w:val="32"/>
        </w:rPr>
        <w:t>市有关部门和区级政府应建立分工协作机制，严格落实防汛抗旱、农村饮用水安全保障、水资源管理、采砂等方面的行政首长负责制，进一步明确市有关部门和区级政府职责分工，加强规划实施的组织领导，制定规划实施详细计划，全面落实规划的实施。市水务局应按照职责分工，加强指导、组织、协调以及监督规划实施；区级政府应切实履行职责，落实辖区内规划目标和任务，将区域规划与全市水务专项规划有机衔接，变成行之有效的行动和管理依据，保证规划的顺利实施。</w:t>
      </w:r>
    </w:p>
    <w:p>
      <w:pPr>
        <w:pStyle w:val="4"/>
        <w:pageBreakBefore w:val="0"/>
        <w:kinsoku/>
        <w:wordWrap/>
        <w:overflowPunct/>
        <w:topLinePunct w:val="0"/>
        <w:autoSpaceDE/>
        <w:autoSpaceDN/>
        <w:bidi w:val="0"/>
        <w:adjustRightInd/>
        <w:snapToGrid/>
        <w:spacing w:line="540" w:lineRule="exact"/>
        <w:textAlignment w:val="auto"/>
        <w:rPr>
          <w:sz w:val="32"/>
          <w:szCs w:val="32"/>
        </w:rPr>
      </w:pPr>
      <w:r>
        <w:rPr>
          <w:rFonts w:hint="eastAsia" w:ascii="楷体" w:hAnsi="楷体" w:eastAsia="楷体" w:cs="楷体"/>
          <w:b/>
          <w:bCs/>
          <w:sz w:val="32"/>
          <w:szCs w:val="32"/>
          <w:lang w:val="en-US" w:eastAsia="zh-CN"/>
        </w:rPr>
        <w:t>（二）</w:t>
      </w:r>
      <w:r>
        <w:rPr>
          <w:rFonts w:hint="eastAsia" w:ascii="楷体" w:hAnsi="楷体" w:eastAsia="楷体" w:cs="楷体"/>
          <w:b/>
          <w:bCs/>
          <w:sz w:val="32"/>
          <w:szCs w:val="32"/>
        </w:rPr>
        <w:t>广辟资金来源，保障资金投入。</w:t>
      </w:r>
      <w:r>
        <w:rPr>
          <w:sz w:val="32"/>
          <w:szCs w:val="32"/>
        </w:rPr>
        <w:t>积极争取中央省市财政支持，充分发挥政府在建设中的主导作用，切实增加财政预算投入；拓宽来源渠道，增加收入规模，完善专项资金征收与使用管理制度，严格征收、使用和管理；在逐步增加财政性投入的同时，深化水务投融资体制改革，发展PPP等新型水务项目融资模式，广泛吸引各类社会资金投入，形成多渠道、多层次、多元化的投入保障机制。</w:t>
      </w:r>
    </w:p>
    <w:p>
      <w:pPr>
        <w:pStyle w:val="4"/>
        <w:pageBreakBefore w:val="0"/>
        <w:kinsoku/>
        <w:wordWrap/>
        <w:overflowPunct/>
        <w:topLinePunct w:val="0"/>
        <w:autoSpaceDE/>
        <w:autoSpaceDN/>
        <w:bidi w:val="0"/>
        <w:adjustRightInd/>
        <w:snapToGrid/>
        <w:spacing w:line="540" w:lineRule="exact"/>
        <w:textAlignment w:val="auto"/>
        <w:rPr>
          <w:sz w:val="32"/>
          <w:szCs w:val="32"/>
        </w:rPr>
      </w:pPr>
      <w:r>
        <w:rPr>
          <w:rFonts w:hint="eastAsia" w:ascii="楷体" w:hAnsi="楷体" w:eastAsia="楷体" w:cs="楷体"/>
          <w:b/>
          <w:bCs/>
          <w:sz w:val="32"/>
          <w:szCs w:val="32"/>
          <w:lang w:eastAsia="zh-CN"/>
        </w:rPr>
        <w:t>（三）</w:t>
      </w:r>
      <w:r>
        <w:rPr>
          <w:rFonts w:hint="eastAsia" w:ascii="楷体" w:hAnsi="楷体" w:eastAsia="楷体" w:cs="楷体"/>
          <w:b/>
          <w:bCs/>
          <w:sz w:val="32"/>
          <w:szCs w:val="32"/>
        </w:rPr>
        <w:t>强化前期工作，做好项目储备。</w:t>
      </w:r>
      <w:r>
        <w:rPr>
          <w:sz w:val="32"/>
          <w:szCs w:val="32"/>
        </w:rPr>
        <w:t>根据加快水利改革发展的要求，加大水务项目前期工作力度；加大前期工作投入，满足规划实施对建设项目储备的要求；深入贯彻水生态文明新理念，把科学发展和资源环境的理念贯穿到每一个水务项目前期工作中；保证必要的项目设计工作周期，切实加强各环节质量控制；建立前期工作市场准入和终身负责制度，不断提高前期工作质量；强化前期工作审查，确保建设项目符合水务专项规划。</w:t>
      </w:r>
    </w:p>
    <w:p>
      <w:pPr>
        <w:pStyle w:val="4"/>
        <w:pageBreakBefore w:val="0"/>
        <w:kinsoku/>
        <w:wordWrap/>
        <w:overflowPunct/>
        <w:topLinePunct w:val="0"/>
        <w:autoSpaceDE/>
        <w:autoSpaceDN/>
        <w:bidi w:val="0"/>
        <w:adjustRightInd/>
        <w:snapToGrid/>
        <w:spacing w:line="540" w:lineRule="exact"/>
        <w:textAlignment w:val="auto"/>
        <w:rPr>
          <w:sz w:val="32"/>
          <w:szCs w:val="32"/>
        </w:rPr>
      </w:pPr>
      <w:r>
        <w:rPr>
          <w:rFonts w:hint="eastAsia" w:ascii="楷体" w:hAnsi="楷体" w:eastAsia="楷体" w:cs="楷体"/>
          <w:b/>
          <w:bCs/>
          <w:sz w:val="32"/>
          <w:szCs w:val="32"/>
          <w:lang w:eastAsia="zh-CN"/>
        </w:rPr>
        <w:t>（四）</w:t>
      </w:r>
      <w:r>
        <w:rPr>
          <w:rFonts w:hint="eastAsia" w:ascii="楷体" w:hAnsi="楷体" w:eastAsia="楷体" w:cs="楷体"/>
          <w:b/>
          <w:bCs/>
          <w:sz w:val="32"/>
          <w:szCs w:val="32"/>
        </w:rPr>
        <w:t>加快培育人才，推进科技引领。</w:t>
      </w:r>
      <w:r>
        <w:rPr>
          <w:sz w:val="32"/>
          <w:szCs w:val="32"/>
        </w:rPr>
        <w:t>强化水务科技创新驱动水务事业发展，建设多元开放包容的人才发展环境，推进全市水务人才队伍建设，通过引进、培训等方式，既要抓好高端引领人才培养，也要着力解决基层水务人才队伍短缺问题。增加水务科技经费，加大对科研成果推广与转化，积极稳妥采用新技术、新材料、新工艺，不断提升水务科技含量。加强与国际、国内水务行业交流，加强与大专院校、科研院所合作，搭建科研攻关，技术创新平台。</w:t>
      </w:r>
    </w:p>
    <w:p>
      <w:pPr>
        <w:pStyle w:val="4"/>
        <w:pageBreakBefore w:val="0"/>
        <w:kinsoku/>
        <w:wordWrap/>
        <w:overflowPunct/>
        <w:topLinePunct w:val="0"/>
        <w:autoSpaceDE/>
        <w:autoSpaceDN/>
        <w:bidi w:val="0"/>
        <w:adjustRightInd/>
        <w:snapToGrid/>
        <w:spacing w:line="540" w:lineRule="exact"/>
        <w:textAlignment w:val="auto"/>
        <w:rPr>
          <w:sz w:val="32"/>
          <w:szCs w:val="32"/>
        </w:rPr>
      </w:pPr>
      <w:r>
        <w:rPr>
          <w:rFonts w:hint="eastAsia" w:ascii="楷体" w:hAnsi="楷体" w:eastAsia="楷体" w:cs="楷体"/>
          <w:b/>
          <w:bCs/>
          <w:sz w:val="32"/>
          <w:szCs w:val="32"/>
          <w:lang w:eastAsia="zh-CN"/>
        </w:rPr>
        <w:t>（五）</w:t>
      </w:r>
      <w:r>
        <w:rPr>
          <w:rFonts w:hint="eastAsia" w:ascii="楷体" w:hAnsi="楷体" w:eastAsia="楷体" w:cs="楷体"/>
          <w:b/>
          <w:bCs/>
          <w:sz w:val="32"/>
          <w:szCs w:val="32"/>
        </w:rPr>
        <w:t>营造良好氛围，引导公众参与。</w:t>
      </w:r>
      <w:r>
        <w:rPr>
          <w:sz w:val="32"/>
          <w:szCs w:val="32"/>
        </w:rPr>
        <w:t>充分利用网络、广播、电视、报刊等媒体，加大“十四五”规划和实施的宣传力度，让全社会了解武汉市水务发展面临的形势和建设任务，了解水务与经济发展的密切关系；开展水情教育体系建设，加大宣传国情水情力度，提高全民水患意识、节水意识和水资源保护意识；创新水务建设各个环节的公众参与方式，建立健全公众参与、专家论证和政府决策相结合的行政决策机制；探索水务建设项目公示和听证制度，鼓励社会公众和利益相关方参与水利项目前期和建设各阶段的论证，发挥公众和新闻媒体的监督作用。通过提高全社会对加快水务</w:t>
      </w:r>
      <w:r>
        <w:rPr>
          <w:rFonts w:hint="eastAsia"/>
          <w:sz w:val="32"/>
          <w:szCs w:val="32"/>
        </w:rPr>
        <w:t>改革发展的认识程度，形成全社会关心、支持和参与水务改革发展的良好局面。</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1437168"/>
      <w:docPartObj>
        <w:docPartGallery w:val="autotext"/>
      </w:docPartObj>
    </w:sdtPr>
    <w:sdtContent>
      <w:p>
        <w:pPr>
          <w:pStyle w:val="9"/>
          <w:jc w:val="center"/>
        </w:pPr>
        <w:r>
          <w:fldChar w:fldCharType="begin"/>
        </w:r>
        <w:r>
          <w:instrText xml:space="preserve">PAGE   \* MERGEFORMAT</w:instrText>
        </w:r>
        <w:r>
          <w:fldChar w:fldCharType="separate"/>
        </w:r>
        <w:r>
          <w:rPr>
            <w:lang w:val="zh-CN"/>
          </w:rPr>
          <w:t>16</w:t>
        </w:r>
        <w:r>
          <w:fldChar w:fldCharType="end"/>
        </w:r>
      </w:p>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E6FD4"/>
    <w:multiLevelType w:val="multilevel"/>
    <w:tmpl w:val="23BE6FD4"/>
    <w:lvl w:ilvl="0" w:tentative="0">
      <w:start w:val="1"/>
      <w:numFmt w:val="decimal"/>
      <w:pStyle w:val="2"/>
      <w:suff w:val="space"/>
      <w:lvlText w:val="%1"/>
      <w:lvlJc w:val="left"/>
      <w:pPr>
        <w:ind w:left="0" w:firstLine="0"/>
      </w:pPr>
      <w:rPr>
        <w:rFonts w:hint="default" w:ascii="Arial" w:hAnsi="Arial" w:eastAsia="宋体"/>
        <w:b/>
        <w:i w:val="0"/>
        <w:sz w:val="32"/>
        <w:szCs w:val="32"/>
      </w:rPr>
    </w:lvl>
    <w:lvl w:ilvl="1" w:tentative="0">
      <w:start w:val="1"/>
      <w:numFmt w:val="decimal"/>
      <w:pStyle w:val="3"/>
      <w:suff w:val="space"/>
      <w:lvlText w:val="%1.%2"/>
      <w:lvlJc w:val="left"/>
      <w:pPr>
        <w:ind w:left="710" w:firstLine="0"/>
      </w:pPr>
      <w:rPr>
        <w:rFonts w:hint="default" w:ascii="Arial" w:hAnsi="Arial" w:eastAsia="宋体"/>
        <w:b/>
        <w:i w:val="0"/>
        <w:sz w:val="28"/>
        <w:szCs w:val="28"/>
      </w:rPr>
    </w:lvl>
    <w:lvl w:ilvl="2" w:tentative="0">
      <w:start w:val="1"/>
      <w:numFmt w:val="decimal"/>
      <w:pStyle w:val="6"/>
      <w:suff w:val="space"/>
      <w:lvlText w:val="%1.%2.%3"/>
      <w:lvlJc w:val="left"/>
      <w:pPr>
        <w:ind w:left="2978" w:firstLine="0"/>
      </w:pPr>
      <w:rPr>
        <w:rFonts w:hint="default" w:ascii="Arial" w:hAnsi="Arial" w:eastAsia="宋体"/>
        <w:b/>
        <w:i w:val="0"/>
        <w:sz w:val="28"/>
        <w:szCs w:val="24"/>
      </w:rPr>
    </w:lvl>
    <w:lvl w:ilvl="3" w:tentative="0">
      <w:start w:val="1"/>
      <w:numFmt w:val="decimal"/>
      <w:pStyle w:val="7"/>
      <w:suff w:val="space"/>
      <w:lvlText w:val="%1.%2.%3.%4"/>
      <w:lvlJc w:val="left"/>
      <w:pPr>
        <w:ind w:left="0" w:firstLine="0"/>
      </w:pPr>
      <w:rPr>
        <w:rFonts w:hint="default" w:ascii="Arial" w:hAnsi="Arial" w:eastAsia="宋体"/>
        <w:b/>
        <w:i w:val="0"/>
      </w:rPr>
    </w:lvl>
    <w:lvl w:ilvl="4" w:tentative="0">
      <w:start w:val="1"/>
      <w:numFmt w:val="decimal"/>
      <w:suff w:val="space"/>
      <w:lvlText w:val="（%5）"/>
      <w:lvlJc w:val="left"/>
      <w:pPr>
        <w:ind w:left="0" w:firstLine="0"/>
      </w:pPr>
      <w:rPr>
        <w:rFonts w:hint="default" w:ascii="Arial" w:hAnsi="Arial"/>
        <w:b/>
        <w:i w:val="0"/>
      </w:rPr>
    </w:lvl>
    <w:lvl w:ilvl="5" w:tentative="0">
      <w:start w:val="1"/>
      <w:numFmt w:val="decimal"/>
      <w:suff w:val="space"/>
      <w:lvlText w:val="%6）"/>
      <w:lvlJc w:val="left"/>
      <w:pPr>
        <w:ind w:left="567" w:firstLine="0"/>
      </w:pPr>
      <w:rPr>
        <w:rFonts w:hint="default" w:ascii="Arial" w:hAnsi="Arial"/>
        <w:b/>
        <w:i w:val="0"/>
      </w:rPr>
    </w:lvl>
    <w:lvl w:ilvl="6" w:tentative="0">
      <w:start w:val="1"/>
      <w:numFmt w:val="decimal"/>
      <w:lvlText w:val="%1.%2.%3.%4.%5.%6.%7."/>
      <w:lvlJc w:val="left"/>
      <w:pPr>
        <w:tabs>
          <w:tab w:val="left" w:pos="1129"/>
        </w:tabs>
        <w:ind w:left="1129" w:hanging="1276"/>
      </w:pPr>
      <w:rPr>
        <w:rFonts w:hint="eastAsia"/>
      </w:rPr>
    </w:lvl>
    <w:lvl w:ilvl="7" w:tentative="0">
      <w:start w:val="1"/>
      <w:numFmt w:val="decimal"/>
      <w:lvlText w:val="%1.%2.%3.%4.%5.%6.%7.%8."/>
      <w:lvlJc w:val="left"/>
      <w:pPr>
        <w:tabs>
          <w:tab w:val="left" w:pos="1271"/>
        </w:tabs>
        <w:ind w:left="1271" w:hanging="1418"/>
      </w:pPr>
      <w:rPr>
        <w:rFonts w:hint="eastAsia"/>
      </w:rPr>
    </w:lvl>
    <w:lvl w:ilvl="8" w:tentative="0">
      <w:start w:val="1"/>
      <w:numFmt w:val="decimal"/>
      <w:lvlText w:val="%1.%2.%3.%4.%5.%6.%7.%8.%9."/>
      <w:lvlJc w:val="left"/>
      <w:pPr>
        <w:tabs>
          <w:tab w:val="left" w:pos="1412"/>
        </w:tabs>
        <w:ind w:left="1412"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A96"/>
    <w:rsid w:val="00047603"/>
    <w:rsid w:val="00047F77"/>
    <w:rsid w:val="000D7D76"/>
    <w:rsid w:val="001A42C5"/>
    <w:rsid w:val="00254400"/>
    <w:rsid w:val="00264AE9"/>
    <w:rsid w:val="00296B99"/>
    <w:rsid w:val="00351851"/>
    <w:rsid w:val="00382932"/>
    <w:rsid w:val="003C7FC8"/>
    <w:rsid w:val="004539D1"/>
    <w:rsid w:val="005038CF"/>
    <w:rsid w:val="00582BA0"/>
    <w:rsid w:val="00597F4B"/>
    <w:rsid w:val="00687B0E"/>
    <w:rsid w:val="007B25F9"/>
    <w:rsid w:val="008117ED"/>
    <w:rsid w:val="00853464"/>
    <w:rsid w:val="008910D1"/>
    <w:rsid w:val="00A30DEB"/>
    <w:rsid w:val="00A61DFC"/>
    <w:rsid w:val="00A7769B"/>
    <w:rsid w:val="00A9198B"/>
    <w:rsid w:val="00B55933"/>
    <w:rsid w:val="00BB786B"/>
    <w:rsid w:val="00C12002"/>
    <w:rsid w:val="00C25DCF"/>
    <w:rsid w:val="00C44930"/>
    <w:rsid w:val="00C50D61"/>
    <w:rsid w:val="00CB1A40"/>
    <w:rsid w:val="00D0007E"/>
    <w:rsid w:val="00D148A4"/>
    <w:rsid w:val="00E65A47"/>
    <w:rsid w:val="00EE2962"/>
    <w:rsid w:val="00F32A96"/>
    <w:rsid w:val="00FE5F19"/>
    <w:rsid w:val="19D114BD"/>
    <w:rsid w:val="2B0B1072"/>
    <w:rsid w:val="2E4821B3"/>
    <w:rsid w:val="37372AA2"/>
    <w:rsid w:val="702A48FE"/>
    <w:rsid w:val="70DC530C"/>
    <w:rsid w:val="79141B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0"/>
    <w:pPr>
      <w:keepNext/>
      <w:keepLines/>
      <w:numPr>
        <w:ilvl w:val="0"/>
        <w:numId w:val="1"/>
      </w:numPr>
      <w:tabs>
        <w:tab w:val="left" w:pos="432"/>
      </w:tabs>
      <w:spacing w:before="120" w:after="330" w:line="578" w:lineRule="auto"/>
      <w:ind w:left="432" w:hanging="432"/>
      <w:outlineLvl w:val="0"/>
    </w:pPr>
    <w:rPr>
      <w:rFonts w:ascii="Times New Roman" w:hAnsi="Times New Roman" w:eastAsia="仿宋_GB2312" w:cs="Times New Roman"/>
      <w:b/>
      <w:bCs/>
      <w:kern w:val="0"/>
      <w:sz w:val="36"/>
      <w:szCs w:val="44"/>
    </w:rPr>
  </w:style>
  <w:style w:type="paragraph" w:styleId="3">
    <w:name w:val="heading 2"/>
    <w:basedOn w:val="4"/>
    <w:next w:val="4"/>
    <w:link w:val="17"/>
    <w:qFormat/>
    <w:uiPriority w:val="0"/>
    <w:pPr>
      <w:keepNext/>
      <w:keepLines/>
      <w:widowControl/>
      <w:numPr>
        <w:ilvl w:val="1"/>
        <w:numId w:val="1"/>
      </w:numPr>
      <w:tabs>
        <w:tab w:val="left" w:pos="280"/>
        <w:tab w:val="left" w:pos="420"/>
        <w:tab w:val="left" w:pos="840"/>
        <w:tab w:val="left" w:pos="1134"/>
        <w:tab w:val="left" w:pos="2520"/>
        <w:tab w:val="left" w:pos="2940"/>
        <w:tab w:val="left" w:pos="3360"/>
        <w:tab w:val="left" w:pos="3780"/>
        <w:tab w:val="left" w:pos="4200"/>
        <w:tab w:val="left" w:pos="4620"/>
        <w:tab w:val="left" w:pos="31680"/>
      </w:tabs>
      <w:spacing w:beforeLines="100" w:line="360" w:lineRule="auto"/>
      <w:ind w:firstLineChars="0"/>
      <w:outlineLvl w:val="1"/>
    </w:pPr>
    <w:rPr>
      <w:rFonts w:ascii="Arial" w:hAnsi="Arial" w:eastAsia="黑体"/>
      <w:bCs/>
      <w:sz w:val="32"/>
      <w:szCs w:val="32"/>
    </w:rPr>
  </w:style>
  <w:style w:type="paragraph" w:styleId="6">
    <w:name w:val="heading 3"/>
    <w:basedOn w:val="4"/>
    <w:next w:val="4"/>
    <w:link w:val="18"/>
    <w:qFormat/>
    <w:uiPriority w:val="0"/>
    <w:pPr>
      <w:keepNext/>
      <w:keepLines/>
      <w:numPr>
        <w:ilvl w:val="2"/>
        <w:numId w:val="1"/>
      </w:numPr>
      <w:tabs>
        <w:tab w:val="left" w:pos="360"/>
        <w:tab w:val="left" w:pos="420"/>
        <w:tab w:val="left" w:pos="840"/>
        <w:tab w:val="left" w:pos="1134"/>
        <w:tab w:val="left" w:pos="2520"/>
        <w:tab w:val="left" w:pos="2940"/>
        <w:tab w:val="left" w:pos="3360"/>
        <w:tab w:val="left" w:pos="3780"/>
        <w:tab w:val="left" w:pos="4200"/>
        <w:tab w:val="left" w:pos="4620"/>
        <w:tab w:val="left" w:pos="31680"/>
      </w:tabs>
      <w:spacing w:before="280" w:line="240" w:lineRule="auto"/>
      <w:ind w:left="0" w:firstLine="560" w:firstLineChars="0"/>
      <w:outlineLvl w:val="2"/>
    </w:pPr>
    <w:rPr>
      <w:rFonts w:eastAsia="仿宋"/>
      <w:b/>
      <w:bCs/>
      <w:sz w:val="30"/>
      <w:szCs w:val="32"/>
    </w:rPr>
  </w:style>
  <w:style w:type="paragraph" w:styleId="7">
    <w:name w:val="heading 4"/>
    <w:basedOn w:val="4"/>
    <w:next w:val="4"/>
    <w:link w:val="19"/>
    <w:qFormat/>
    <w:uiPriority w:val="0"/>
    <w:pPr>
      <w:keepNext/>
      <w:keepLines/>
      <w:numPr>
        <w:ilvl w:val="3"/>
        <w:numId w:val="1"/>
      </w:numPr>
      <w:tabs>
        <w:tab w:val="left" w:pos="360"/>
        <w:tab w:val="left" w:pos="420"/>
        <w:tab w:val="left" w:pos="840"/>
        <w:tab w:val="left" w:pos="1134"/>
        <w:tab w:val="left" w:pos="2520"/>
        <w:tab w:val="left" w:pos="2940"/>
        <w:tab w:val="left" w:pos="3360"/>
        <w:tab w:val="left" w:pos="3780"/>
        <w:tab w:val="left" w:pos="4200"/>
        <w:tab w:val="left" w:pos="4620"/>
        <w:tab w:val="left" w:pos="31680"/>
      </w:tabs>
      <w:spacing w:before="280" w:after="280" w:line="240" w:lineRule="auto"/>
      <w:ind w:left="2240" w:firstLine="560" w:firstLineChars="0"/>
      <w:outlineLvl w:val="3"/>
    </w:pPr>
    <w:rPr>
      <w:rFonts w:ascii="Arial" w:hAnsi="Arial" w:eastAsia="黑体"/>
      <w:bCs/>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4">
    <w:name w:val="中文段落（P）"/>
    <w:basedOn w:val="5"/>
    <w:link w:val="20"/>
    <w:qFormat/>
    <w:uiPriority w:val="0"/>
    <w:pPr>
      <w:tabs>
        <w:tab w:val="left" w:pos="420"/>
        <w:tab w:val="left" w:pos="840"/>
        <w:tab w:val="left" w:pos="1134"/>
        <w:tab w:val="left" w:pos="2520"/>
        <w:tab w:val="left" w:pos="2940"/>
        <w:tab w:val="left" w:pos="3360"/>
        <w:tab w:val="left" w:pos="3780"/>
        <w:tab w:val="left" w:pos="4200"/>
        <w:tab w:val="left" w:pos="4620"/>
        <w:tab w:val="left" w:pos="31680"/>
      </w:tabs>
      <w:spacing w:after="0" w:line="540" w:lineRule="atLeast"/>
      <w:ind w:firstLine="560" w:firstLineChars="200"/>
    </w:pPr>
    <w:rPr>
      <w:rFonts w:ascii="Times New Roman" w:hAnsi="Times New Roman" w:eastAsia="仿宋_GB2312" w:cs="Times New Roman"/>
      <w:snapToGrid w:val="0"/>
      <w:kern w:val="0"/>
      <w:sz w:val="28"/>
      <w:szCs w:val="24"/>
    </w:rPr>
  </w:style>
  <w:style w:type="paragraph" w:styleId="5">
    <w:name w:val="Body Text"/>
    <w:basedOn w:val="1"/>
    <w:link w:val="27"/>
    <w:semiHidden/>
    <w:unhideWhenUsed/>
    <w:uiPriority w:val="99"/>
    <w:pPr>
      <w:spacing w:after="120"/>
    </w:pPr>
  </w:style>
  <w:style w:type="paragraph" w:styleId="8">
    <w:name w:val="caption"/>
    <w:basedOn w:val="1"/>
    <w:next w:val="1"/>
    <w:qFormat/>
    <w:uiPriority w:val="35"/>
    <w:pPr>
      <w:spacing w:afterLines="50"/>
      <w:jc w:val="center"/>
    </w:pPr>
    <w:rPr>
      <w:rFonts w:ascii="Times New Roman" w:hAnsi="Times New Roman" w:eastAsia="黑体" w:cs="Arial"/>
      <w:sz w:val="24"/>
      <w:szCs w:val="20"/>
    </w:rPr>
  </w:style>
  <w:style w:type="paragraph" w:styleId="9">
    <w:name w:val="footer"/>
    <w:basedOn w:val="1"/>
    <w:link w:val="14"/>
    <w:unhideWhenUsed/>
    <w:uiPriority w:val="99"/>
    <w:pPr>
      <w:tabs>
        <w:tab w:val="center" w:pos="4153"/>
        <w:tab w:val="right" w:pos="8306"/>
      </w:tabs>
      <w:snapToGrid w:val="0"/>
      <w:jc w:val="left"/>
    </w:pPr>
    <w:rPr>
      <w:sz w:val="18"/>
      <w:szCs w:val="18"/>
    </w:rPr>
  </w:style>
  <w:style w:type="paragraph" w:styleId="10">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13">
    <w:name w:val="页眉 Char"/>
    <w:basedOn w:val="12"/>
    <w:link w:val="10"/>
    <w:qFormat/>
    <w:uiPriority w:val="99"/>
    <w:rPr>
      <w:sz w:val="18"/>
      <w:szCs w:val="18"/>
    </w:rPr>
  </w:style>
  <w:style w:type="character" w:customStyle="1" w:styleId="14">
    <w:name w:val="页脚 Char"/>
    <w:basedOn w:val="12"/>
    <w:link w:val="9"/>
    <w:uiPriority w:val="99"/>
    <w:rPr>
      <w:sz w:val="18"/>
      <w:szCs w:val="18"/>
    </w:rPr>
  </w:style>
  <w:style w:type="paragraph" w:styleId="15">
    <w:name w:val="List Paragraph"/>
    <w:basedOn w:val="1"/>
    <w:qFormat/>
    <w:uiPriority w:val="34"/>
    <w:pPr>
      <w:ind w:firstLine="420" w:firstLineChars="200"/>
    </w:pPr>
  </w:style>
  <w:style w:type="character" w:customStyle="1" w:styleId="16">
    <w:name w:val="标题 1 Char"/>
    <w:basedOn w:val="12"/>
    <w:link w:val="2"/>
    <w:uiPriority w:val="0"/>
    <w:rPr>
      <w:rFonts w:ascii="Times New Roman" w:hAnsi="Times New Roman" w:eastAsia="仿宋_GB2312" w:cs="Times New Roman"/>
      <w:b/>
      <w:bCs/>
      <w:kern w:val="0"/>
      <w:sz w:val="36"/>
      <w:szCs w:val="44"/>
    </w:rPr>
  </w:style>
  <w:style w:type="character" w:customStyle="1" w:styleId="17">
    <w:name w:val="标题 2 Char"/>
    <w:basedOn w:val="12"/>
    <w:link w:val="3"/>
    <w:uiPriority w:val="0"/>
    <w:rPr>
      <w:rFonts w:ascii="Arial" w:hAnsi="Arial" w:eastAsia="黑体" w:cs="Times New Roman"/>
      <w:bCs/>
      <w:snapToGrid w:val="0"/>
      <w:kern w:val="0"/>
      <w:sz w:val="32"/>
      <w:szCs w:val="32"/>
    </w:rPr>
  </w:style>
  <w:style w:type="character" w:customStyle="1" w:styleId="18">
    <w:name w:val="标题 3 Char"/>
    <w:basedOn w:val="12"/>
    <w:link w:val="6"/>
    <w:uiPriority w:val="0"/>
    <w:rPr>
      <w:rFonts w:ascii="Times New Roman" w:hAnsi="Times New Roman" w:eastAsia="仿宋" w:cs="Times New Roman"/>
      <w:b/>
      <w:bCs/>
      <w:snapToGrid w:val="0"/>
      <w:kern w:val="0"/>
      <w:sz w:val="30"/>
      <w:szCs w:val="32"/>
    </w:rPr>
  </w:style>
  <w:style w:type="character" w:customStyle="1" w:styleId="19">
    <w:name w:val="标题 4 Char"/>
    <w:basedOn w:val="12"/>
    <w:link w:val="7"/>
    <w:uiPriority w:val="0"/>
    <w:rPr>
      <w:rFonts w:ascii="Arial" w:hAnsi="Arial" w:eastAsia="黑体" w:cs="Times New Roman"/>
      <w:bCs/>
      <w:snapToGrid w:val="0"/>
      <w:kern w:val="0"/>
      <w:sz w:val="28"/>
      <w:szCs w:val="24"/>
    </w:rPr>
  </w:style>
  <w:style w:type="character" w:customStyle="1" w:styleId="20">
    <w:name w:val="中文段落（P） Char"/>
    <w:link w:val="4"/>
    <w:qFormat/>
    <w:uiPriority w:val="0"/>
    <w:rPr>
      <w:rFonts w:ascii="Times New Roman" w:hAnsi="Times New Roman" w:eastAsia="仿宋_GB2312" w:cs="Times New Roman"/>
      <w:snapToGrid w:val="0"/>
      <w:kern w:val="0"/>
      <w:sz w:val="28"/>
      <w:szCs w:val="24"/>
    </w:rPr>
  </w:style>
  <w:style w:type="paragraph" w:customStyle="1" w:styleId="21">
    <w:name w:val="表格序号"/>
    <w:basedOn w:val="22"/>
    <w:qFormat/>
    <w:uiPriority w:val="0"/>
    <w:pPr>
      <w:spacing w:line="220" w:lineRule="exact"/>
      <w:jc w:val="left"/>
    </w:pPr>
    <w:rPr>
      <w:rFonts w:eastAsia="黑体"/>
      <w:sz w:val="24"/>
    </w:rPr>
  </w:style>
  <w:style w:type="paragraph" w:customStyle="1" w:styleId="22">
    <w:name w:val="表格文字"/>
    <w:basedOn w:val="23"/>
    <w:link w:val="25"/>
    <w:qFormat/>
    <w:uiPriority w:val="0"/>
    <w:pPr>
      <w:spacing w:beforeLines="0"/>
    </w:pPr>
    <w:rPr>
      <w:rFonts w:eastAsia="仿宋_GB2312"/>
      <w:sz w:val="21"/>
    </w:rPr>
  </w:style>
  <w:style w:type="paragraph" w:customStyle="1" w:styleId="23">
    <w:name w:val="表格标题"/>
    <w:basedOn w:val="1"/>
    <w:link w:val="24"/>
    <w:qFormat/>
    <w:uiPriority w:val="0"/>
    <w:pPr>
      <w:widowControl/>
      <w:spacing w:beforeLines="50"/>
      <w:jc w:val="center"/>
    </w:pPr>
    <w:rPr>
      <w:rFonts w:ascii="Times New Roman" w:hAnsi="Times New Roman" w:eastAsia="黑体" w:cs="Times New Roman"/>
      <w:sz w:val="24"/>
      <w:szCs w:val="24"/>
    </w:rPr>
  </w:style>
  <w:style w:type="character" w:customStyle="1" w:styleId="24">
    <w:name w:val="表格标题 Char"/>
    <w:basedOn w:val="12"/>
    <w:link w:val="23"/>
    <w:uiPriority w:val="0"/>
    <w:rPr>
      <w:rFonts w:ascii="Times New Roman" w:hAnsi="Times New Roman" w:eastAsia="黑体" w:cs="Times New Roman"/>
      <w:sz w:val="24"/>
      <w:szCs w:val="24"/>
    </w:rPr>
  </w:style>
  <w:style w:type="character" w:customStyle="1" w:styleId="25">
    <w:name w:val="表格文字 Char"/>
    <w:basedOn w:val="12"/>
    <w:link w:val="22"/>
    <w:qFormat/>
    <w:uiPriority w:val="0"/>
    <w:rPr>
      <w:rFonts w:ascii="Times New Roman" w:hAnsi="Times New Roman" w:eastAsia="仿宋_GB2312" w:cs="Times New Roman"/>
      <w:szCs w:val="24"/>
    </w:rPr>
  </w:style>
  <w:style w:type="paragraph" w:customStyle="1" w:styleId="26">
    <w:name w:val="文本"/>
    <w:basedOn w:val="1"/>
    <w:qFormat/>
    <w:uiPriority w:val="0"/>
    <w:pPr>
      <w:jc w:val="center"/>
    </w:pPr>
    <w:rPr>
      <w:rFonts w:ascii="Times New Roman" w:hAnsi="Times New Roman" w:eastAsia="黑体" w:cs="Times New Roman"/>
      <w:sz w:val="30"/>
      <w:szCs w:val="30"/>
    </w:rPr>
  </w:style>
  <w:style w:type="character" w:customStyle="1" w:styleId="27">
    <w:name w:val="正文文本 Char"/>
    <w:basedOn w:val="12"/>
    <w:link w:val="5"/>
    <w:semiHidden/>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1341</Words>
  <Characters>7645</Characters>
  <Lines>63</Lines>
  <Paragraphs>17</Paragraphs>
  <TotalTime>184</TotalTime>
  <ScaleCrop>false</ScaleCrop>
  <LinksUpToDate>false</LinksUpToDate>
  <CharactersWithSpaces>8969</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2021-07-29T01:51:00Z</dcterms:created>
  <dc:creator>ASD</dc:creator>
  <cp:lastModifiedBy>伍碧华</cp:lastModifiedBy>
  <cp:lastPrinted>2021-07-30T03:45:00Z</cp:lastPrinted>
  <dcterms:modified xsi:type="dcterms:W3CDTF">2021-07-30T07:55:35Z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