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theme="minorEastAsia"/>
          <w:sz w:val="44"/>
          <w:szCs w:val="44"/>
        </w:rPr>
      </w:pPr>
      <w:bookmarkStart w:id="0" w:name="_Toc8959"/>
      <w:r>
        <w:rPr>
          <w:rFonts w:hint="eastAsia" w:ascii="黑体" w:hAnsi="黑体" w:eastAsia="黑体" w:cstheme="minorEastAsia"/>
          <w:sz w:val="44"/>
          <w:szCs w:val="44"/>
        </w:rPr>
        <w:t>第三章</w:t>
      </w:r>
      <w:bookmarkEnd w:id="0"/>
    </w:p>
    <w:p>
      <w:pPr>
        <w:jc w:val="center"/>
        <w:outlineLvl w:val="0"/>
        <w:rPr>
          <w:rFonts w:ascii="黑体" w:hAnsi="黑体" w:eastAsia="黑体" w:cs="Times New Roman"/>
          <w:kern w:val="2"/>
          <w:sz w:val="44"/>
          <w:szCs w:val="44"/>
          <w:lang w:val="en-US" w:bidi="ar-SA"/>
        </w:rPr>
      </w:pPr>
      <w:bookmarkStart w:id="1" w:name="_Toc6528"/>
      <w:r>
        <w:rPr>
          <w:rFonts w:hint="eastAsia" w:ascii="黑体" w:hAnsi="黑体" w:eastAsia="黑体" w:cs="Times New Roman"/>
          <w:kern w:val="2"/>
          <w:sz w:val="44"/>
          <w:szCs w:val="44"/>
          <w:lang w:val="en-US" w:bidi="ar-SA"/>
        </w:rPr>
        <w:t>项目</w:t>
      </w:r>
      <w:r>
        <w:rPr>
          <w:rFonts w:ascii="黑体" w:hAnsi="黑体" w:eastAsia="黑体" w:cs="Times New Roman"/>
          <w:kern w:val="2"/>
          <w:sz w:val="44"/>
          <w:szCs w:val="44"/>
          <w:lang w:val="en-US" w:bidi="ar-SA"/>
        </w:rPr>
        <w:t>技术需求</w:t>
      </w:r>
      <w:bookmarkEnd w:id="1"/>
    </w:p>
    <w:p>
      <w:pPr>
        <w:autoSpaceDE/>
        <w:autoSpaceDN/>
        <w:jc w:val="both"/>
        <w:outlineLvl w:val="9"/>
        <w:rPr>
          <w:rFonts w:cs="Times New Roman"/>
          <w:b/>
          <w:kern w:val="2"/>
          <w:sz w:val="28"/>
          <w:szCs w:val="28"/>
          <w:lang w:val="en-US" w:bidi="ar-SA"/>
        </w:rPr>
      </w:pPr>
      <w:r>
        <w:rPr>
          <w:rFonts w:hint="eastAsia" w:cs="Times New Roman"/>
          <w:b/>
          <w:kern w:val="2"/>
          <w:sz w:val="28"/>
          <w:szCs w:val="28"/>
          <w:lang w:val="en-US" w:bidi="ar-SA"/>
        </w:rPr>
        <w:t>一、工作目标</w:t>
      </w:r>
    </w:p>
    <w:p>
      <w:pPr>
        <w:autoSpaceDE/>
        <w:autoSpaceDN/>
        <w:jc w:val="both"/>
        <w:outlineLvl w:val="9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对武汉市166个湖泊、165条河流以及位于中心城区范围、具有重要排水功能的57条港渠进行定位，形成武汉市河湖（港渠）水体一张图；绘制重点河湖河湖长制工作图；制定武汉市河流（港渠）保护范围划定标准，并选择典型河流为例划定其保护范围，为后续确权划界工作提供基础支撑。</w:t>
      </w:r>
    </w:p>
    <w:p>
      <w:pPr>
        <w:autoSpaceDE/>
        <w:autoSpaceDN/>
        <w:jc w:val="both"/>
        <w:outlineLvl w:val="1"/>
        <w:rPr>
          <w:rFonts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</w:pPr>
      <w:bookmarkStart w:id="2" w:name="_Toc24428"/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  <w:t>二、工作内容及要求</w:t>
      </w:r>
      <w:bookmarkEnd w:id="2"/>
    </w:p>
    <w:p>
      <w:pPr>
        <w:autoSpaceDE/>
        <w:autoSpaceDN/>
        <w:ind w:firstLine="560" w:firstLineChars="200"/>
        <w:jc w:val="both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1、绘制武汉市河湖（港渠）水体一张图</w:t>
      </w:r>
    </w:p>
    <w:p>
      <w:pPr>
        <w:autoSpaceDE/>
        <w:autoSpaceDN/>
        <w:ind w:firstLine="560" w:firstLineChars="200"/>
        <w:jc w:val="both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全市总图： 全市范围总图。图幅展示武汉市湖泊、河流及港渠共计388个水体位置。</w:t>
      </w:r>
    </w:p>
    <w:p>
      <w:pPr>
        <w:autoSpaceDE/>
        <w:autoSpaceDN/>
        <w:ind w:firstLine="560" w:firstLineChars="200"/>
        <w:jc w:val="both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分区单图：以行政区为单位独立成图。图幅展示该辖区范围内水体位置，街道（镇）分区范围，骨干路网，山体水库等信息。</w:t>
      </w:r>
    </w:p>
    <w:p>
      <w:pPr>
        <w:autoSpaceDE/>
        <w:autoSpaceDN/>
        <w:ind w:firstLine="560" w:firstLineChars="200"/>
        <w:jc w:val="both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2、绘制重点湖泊河湖长制工作图</w:t>
      </w:r>
    </w:p>
    <w:p>
      <w:pPr>
        <w:autoSpaceDE/>
        <w:autoSpaceDN/>
        <w:ind w:firstLine="560" w:firstLineChars="200"/>
        <w:jc w:val="both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根据河湖长制工作要求，编制市级领导任河湖长的35个重点河湖的河湖长制工作图。</w:t>
      </w:r>
    </w:p>
    <w:p>
      <w:pPr>
        <w:autoSpaceDE/>
        <w:autoSpaceDN/>
        <w:jc w:val="both"/>
        <w:outlineLvl w:val="9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3、武汉市河流（港渠）保护范围划定标准及典型河流保护范围划定工作</w:t>
      </w:r>
    </w:p>
    <w:p>
      <w:pPr>
        <w:autoSpaceDE/>
        <w:autoSpaceDN/>
        <w:jc w:val="both"/>
        <w:outlineLvl w:val="9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根据《中华人民共和国河道管理条例》、《武汉市水资源保护条例》、《武安市城市明渠保护办法》及其它省市河流港渠保护办法或条例，制定武汉市河流（港渠）保护范围划定标准，并选择一条重点河流划定其保护范围。</w:t>
      </w:r>
    </w:p>
    <w:p>
      <w:pPr>
        <w:autoSpaceDE/>
        <w:autoSpaceDN/>
        <w:jc w:val="both"/>
        <w:outlineLvl w:val="1"/>
        <w:rPr>
          <w:rFonts w:cs="Times New Roman"/>
          <w:b/>
          <w:kern w:val="2"/>
          <w:sz w:val="28"/>
          <w:szCs w:val="28"/>
          <w:lang w:val="en-US" w:bidi="ar-SA"/>
        </w:rPr>
      </w:pPr>
      <w:bookmarkStart w:id="3" w:name="_Toc10765"/>
      <w:r>
        <w:rPr>
          <w:rFonts w:hint="eastAsia" w:cs="Times New Roman"/>
          <w:b/>
          <w:kern w:val="2"/>
          <w:sz w:val="28"/>
          <w:szCs w:val="28"/>
          <w:lang w:val="en-US" w:bidi="ar-SA"/>
        </w:rPr>
        <w:t>三、项目周期</w:t>
      </w:r>
      <w:bookmarkEnd w:id="3"/>
    </w:p>
    <w:p>
      <w:pPr>
        <w:autoSpaceDE/>
        <w:autoSpaceDN/>
        <w:ind w:firstLine="560" w:firstLineChars="200"/>
        <w:jc w:val="both"/>
        <w:rPr>
          <w:rFonts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本项目工作周期为2019年5月至2020年</w:t>
      </w:r>
      <w:r>
        <w:rPr>
          <w:rFonts w:hint="default" w:ascii="Calibri" w:hAnsi="Calibri" w:cs="Times New Roman"/>
          <w:kern w:val="2"/>
          <w:sz w:val="28"/>
          <w:szCs w:val="28"/>
          <w:lang w:val="en-US" w:bidi="ar-SA"/>
        </w:rPr>
        <w:t>6</w:t>
      </w: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月。</w:t>
      </w:r>
    </w:p>
    <w:p>
      <w:pPr>
        <w:autoSpaceDE/>
        <w:autoSpaceDN/>
        <w:jc w:val="both"/>
        <w:outlineLvl w:val="1"/>
        <w:rPr>
          <w:rFonts w:cs="Times New Roman"/>
          <w:b/>
          <w:kern w:val="2"/>
          <w:sz w:val="28"/>
          <w:szCs w:val="28"/>
          <w:lang w:val="en-US" w:bidi="ar-SA"/>
        </w:rPr>
      </w:pPr>
      <w:bookmarkStart w:id="4" w:name="_Toc27372"/>
      <w:r>
        <w:rPr>
          <w:rFonts w:hint="eastAsia" w:cs="Times New Roman"/>
          <w:b/>
          <w:kern w:val="2"/>
          <w:sz w:val="28"/>
          <w:szCs w:val="28"/>
          <w:lang w:val="en-US" w:bidi="ar-SA"/>
        </w:rPr>
        <w:t>四、经费</w:t>
      </w:r>
      <w:bookmarkEnd w:id="4"/>
    </w:p>
    <w:p>
      <w:pPr>
        <w:autoSpaceDE/>
        <w:autoSpaceDN/>
        <w:ind w:firstLine="560" w:firstLineChars="200"/>
        <w:jc w:val="both"/>
        <w:rPr>
          <w:rFonts w:hint="eastAsia" w:ascii="Calibri" w:hAnsi="Calibri" w:cs="Times New Roman"/>
          <w:kern w:val="2"/>
          <w:sz w:val="28"/>
          <w:szCs w:val="28"/>
          <w:lang w:val="en-US" w:bidi="ar-SA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bidi="ar-SA"/>
        </w:rPr>
        <w:t>200万。</w:t>
      </w:r>
    </w:p>
    <w:p>
      <w:pPr>
        <w:numPr>
          <w:ilvl w:val="0"/>
          <w:numId w:val="1"/>
        </w:numPr>
        <w:autoSpaceDE/>
        <w:autoSpaceDN/>
        <w:jc w:val="both"/>
        <w:outlineLvl w:val="1"/>
        <w:rPr>
          <w:rFonts w:hint="eastAsia" w:cs="Times New Roman"/>
          <w:b/>
          <w:kern w:val="2"/>
          <w:sz w:val="28"/>
          <w:szCs w:val="28"/>
          <w:lang w:val="en-US" w:eastAsia="zh-CN" w:bidi="ar-SA"/>
        </w:rPr>
      </w:pPr>
      <w:bookmarkStart w:id="5" w:name="_Toc9273"/>
      <w:r>
        <w:rPr>
          <w:rFonts w:hint="eastAsia" w:cs="Times New Roman"/>
          <w:b/>
          <w:kern w:val="2"/>
          <w:sz w:val="28"/>
          <w:szCs w:val="28"/>
          <w:lang w:val="en-US" w:eastAsia="zh-CN" w:bidi="ar-SA"/>
        </w:rPr>
        <w:t>验收方式及标准</w:t>
      </w:r>
      <w:bookmarkEnd w:id="5"/>
    </w:p>
    <w:p>
      <w:pPr>
        <w:numPr>
          <w:ilvl w:val="0"/>
          <w:numId w:val="0"/>
        </w:numPr>
        <w:autoSpaceDE/>
        <w:autoSpaceDN/>
        <w:jc w:val="both"/>
        <w:outlineLvl w:val="9"/>
        <w:rPr>
          <w:rFonts w:hint="default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采购人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根据采购项目的具体情况，自行组织项目验收或者委托采购代理机构验收。</w:t>
      </w:r>
      <w:r>
        <w:rPr>
          <w:rFonts w:hint="eastAsia"/>
          <w:sz w:val="28"/>
          <w:szCs w:val="28"/>
          <w:lang w:eastAsia="zh-CN"/>
        </w:rPr>
        <w:t>验收标准应当满足采购需求符合相关国家标准。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55FF"/>
    <w:multiLevelType w:val="singleLevel"/>
    <w:tmpl w:val="0FDC55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13EE3"/>
    <w:rsid w:val="15E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2019-05-10T07:07:00Z</dcterms:created>
  <dc:creator>褚。❁҉҉҉҉҉҉҉҉</dc:creator>
  <cp:lastModifiedBy>褚。❁҉҉҉҉҉҉҉҉</cp:lastModifiedBy>
  <dcterms:modified xsi:type="dcterms:W3CDTF">2019-05-10T07:08:34Z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