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bidi w:val="0"/>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hint="eastAsia" w:ascii="方正小标宋简体" w:hAnsi="方正小标宋简体" w:eastAsia="方正小标宋简体" w:cs="方正小标宋简体"/>
          <w:b w:val="0"/>
          <w:bCs/>
          <w:i w:val="0"/>
          <w:color w:val="000000"/>
          <w:kern w:val="0"/>
          <w:sz w:val="44"/>
          <w:szCs w:val="44"/>
          <w:u w:val="none"/>
          <w:lang w:val="en-US" w:eastAsia="zh-CN" w:bidi="ar"/>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对蓄滞洪区内居民补偿金的确认办事指南</w:t>
      </w:r>
    </w:p>
    <w:p>
      <w:pPr>
        <w:pStyle w:val="4"/>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hint="eastAsia" w:ascii="方正小标宋简体" w:hAnsi="方正小标宋简体" w:eastAsia="方正小标宋简体" w:cs="方正小标宋简体"/>
          <w:b w:val="0"/>
          <w:bCs/>
          <w:i w:val="0"/>
          <w:color w:val="000000"/>
          <w:kern w:val="0"/>
          <w:sz w:val="44"/>
          <w:szCs w:val="44"/>
          <w:u w:val="none"/>
          <w:lang w:val="en-US" w:eastAsia="zh-CN" w:bidi="ar"/>
        </w:rPr>
      </w:pPr>
    </w:p>
    <w:tbl>
      <w:tblPr>
        <w:tblStyle w:val="5"/>
        <w:tblW w:w="90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37"/>
        <w:gridCol w:w="1196"/>
        <w:gridCol w:w="2639"/>
        <w:gridCol w:w="1329"/>
        <w:gridCol w:w="2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3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事项名称</w:t>
            </w:r>
          </w:p>
        </w:tc>
        <w:tc>
          <w:tcPr>
            <w:tcW w:w="687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对蓄滞洪区内居民补偿金的确认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3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业务办理项名称</w:t>
            </w:r>
          </w:p>
        </w:tc>
        <w:tc>
          <w:tcPr>
            <w:tcW w:w="687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对蓄滞洪区内居民补偿金的确认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3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事项类型</w:t>
            </w:r>
          </w:p>
        </w:tc>
        <w:tc>
          <w:tcPr>
            <w:tcW w:w="687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3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四办类型</w:t>
            </w:r>
          </w:p>
        </w:tc>
        <w:tc>
          <w:tcPr>
            <w:tcW w:w="687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7"/>
                <w:rFonts w:hint="eastAsia" w:ascii="仿宋" w:hAnsi="仿宋" w:eastAsia="仿宋" w:cs="仿宋"/>
                <w:sz w:val="22"/>
                <w:szCs w:val="22"/>
                <w:lang w:val="en-US" w:eastAsia="zh-CN" w:bidi="ar"/>
              </w:rPr>
              <w:t>☑</w:t>
            </w:r>
            <w:r>
              <w:rPr>
                <w:rStyle w:val="8"/>
                <w:rFonts w:hint="eastAsia" w:ascii="仿宋" w:hAnsi="仿宋" w:eastAsia="仿宋" w:cs="仿宋"/>
                <w:sz w:val="22"/>
                <w:szCs w:val="22"/>
                <w:lang w:val="en-US" w:eastAsia="zh-CN" w:bidi="ar"/>
              </w:rPr>
              <w:t xml:space="preserve">马上办  </w:t>
            </w:r>
            <w:r>
              <w:rPr>
                <w:rStyle w:val="7"/>
                <w:rFonts w:hint="eastAsia" w:ascii="仿宋" w:hAnsi="仿宋" w:eastAsia="仿宋" w:cs="仿宋"/>
                <w:sz w:val="22"/>
                <w:szCs w:val="22"/>
                <w:lang w:val="en-US" w:eastAsia="zh-CN" w:bidi="ar"/>
              </w:rPr>
              <w:t>☑</w:t>
            </w:r>
            <w:r>
              <w:rPr>
                <w:rStyle w:val="8"/>
                <w:rFonts w:hint="eastAsia" w:ascii="仿宋" w:hAnsi="仿宋" w:eastAsia="仿宋" w:cs="仿宋"/>
                <w:sz w:val="22"/>
                <w:szCs w:val="22"/>
                <w:lang w:val="en-US" w:eastAsia="zh-CN" w:bidi="ar"/>
              </w:rPr>
              <w:t xml:space="preserve">网上办 </w:t>
            </w:r>
            <w:r>
              <w:rPr>
                <w:rStyle w:val="7"/>
                <w:rFonts w:hint="eastAsia" w:ascii="仿宋" w:hAnsi="仿宋" w:eastAsia="仿宋" w:cs="仿宋"/>
                <w:sz w:val="22"/>
                <w:szCs w:val="22"/>
                <w:lang w:val="en-US" w:eastAsia="zh-CN" w:bidi="ar"/>
              </w:rPr>
              <w:t>☑</w:t>
            </w:r>
            <w:r>
              <w:rPr>
                <w:rStyle w:val="8"/>
                <w:rFonts w:hint="eastAsia" w:ascii="仿宋" w:hAnsi="仿宋" w:eastAsia="仿宋" w:cs="仿宋"/>
                <w:sz w:val="22"/>
                <w:szCs w:val="22"/>
                <w:lang w:val="en-US" w:eastAsia="zh-CN" w:bidi="ar"/>
              </w:rPr>
              <w:t xml:space="preserve">就近办 </w:t>
            </w:r>
            <w:r>
              <w:rPr>
                <w:rStyle w:val="7"/>
                <w:rFonts w:hint="eastAsia" w:ascii="仿宋" w:hAnsi="仿宋" w:eastAsia="仿宋" w:cs="仿宋"/>
                <w:sz w:val="22"/>
                <w:szCs w:val="22"/>
                <w:lang w:val="en-US" w:eastAsia="zh-CN" w:bidi="ar"/>
              </w:rPr>
              <w:t>☑</w:t>
            </w:r>
            <w:r>
              <w:rPr>
                <w:rStyle w:val="8"/>
                <w:rFonts w:hint="eastAsia" w:ascii="仿宋" w:hAnsi="仿宋" w:eastAsia="仿宋" w:cs="仿宋"/>
                <w:sz w:val="22"/>
                <w:szCs w:val="22"/>
                <w:lang w:val="en-US" w:eastAsia="zh-CN" w:bidi="ar"/>
              </w:rPr>
              <w:t>一次办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3" w:hRule="atLeast"/>
        </w:trPr>
        <w:tc>
          <w:tcPr>
            <w:tcW w:w="213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numPr>
                <w:ilvl w:val="0"/>
                <w:numId w:val="0"/>
              </w:numPr>
              <w:wordWrap w:val="0"/>
              <w:autoSpaceDE/>
              <w:autoSpaceDN/>
              <w:spacing w:before="0" w:after="160" w:line="280" w:lineRule="exact"/>
              <w:ind w:leftChars="0" w:right="0" w:rightChars="0"/>
              <w:jc w:val="center"/>
              <w:rPr>
                <w:rFonts w:hint="eastAsia"/>
                <w:lang w:val="en-US" w:eastAsia="zh-CN"/>
              </w:rPr>
            </w:pPr>
            <w:r>
              <w:rPr>
                <w:rFonts w:hint="eastAsia" w:ascii="仿宋" w:hAnsi="仿宋" w:eastAsia="仿宋" w:cs="仿宋"/>
                <w:b/>
                <w:bCs/>
                <w:sz w:val="22"/>
                <w:szCs w:val="22"/>
                <w:lang w:val="en-US" w:eastAsia="zh-CN"/>
              </w:rPr>
              <w:t>设定依据</w:t>
            </w:r>
          </w:p>
        </w:tc>
        <w:tc>
          <w:tcPr>
            <w:tcW w:w="687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lang w:val="en-US" w:eastAsia="zh-CN"/>
              </w:rPr>
            </w:pPr>
            <w:r>
              <w:rPr>
                <w:rFonts w:hint="eastAsia" w:ascii="仿宋" w:hAnsi="仿宋" w:eastAsia="仿宋" w:cs="仿宋"/>
                <w:i w:val="0"/>
                <w:color w:val="000000"/>
                <w:sz w:val="22"/>
                <w:szCs w:val="22"/>
                <w:u w:val="none"/>
                <w:lang w:val="en-US" w:eastAsia="zh-CN"/>
              </w:rPr>
              <w:t>《蓄滞洪区运用补偿暂行办法》（国务院令第286号）</w:t>
            </w:r>
            <w:r>
              <w:rPr>
                <w:rFonts w:hint="eastAsia" w:ascii="仿宋" w:hAnsi="仿宋" w:eastAsia="仿宋" w:cs="仿宋"/>
                <w:b/>
                <w:bCs/>
                <w:i w:val="0"/>
                <w:color w:val="000000"/>
                <w:sz w:val="22"/>
                <w:szCs w:val="22"/>
                <w:u w:val="none"/>
                <w:lang w:val="en-US" w:eastAsia="zh-CN"/>
              </w:rPr>
              <w:t>第十九条：</w:t>
            </w:r>
            <w:r>
              <w:rPr>
                <w:rFonts w:hint="eastAsia" w:ascii="仿宋" w:hAnsi="仿宋" w:eastAsia="仿宋" w:cs="仿宋"/>
                <w:i w:val="0"/>
                <w:color w:val="000000"/>
                <w:sz w:val="22"/>
                <w:szCs w:val="22"/>
                <w:u w:val="none"/>
                <w:lang w:val="en-US" w:eastAsia="zh-CN"/>
              </w:rPr>
              <w:t>蓄滞洪区所在地的县级人民政府在补偿资金拨付到位后，应当及时制定具体补偿方案，由乡（镇）人民政府逐户确定具体补偿金额，并由村（居）民委员会张榜公布。补偿金额公布无异议后，由乡（镇）人民政府组织发放补偿凭证，区内居民持补偿凭证、村（居）民委员会出具的证明和身份证明到县级财政主管部门指定的机构领取补偿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213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行使层级</w:t>
            </w:r>
          </w:p>
        </w:tc>
        <w:tc>
          <w:tcPr>
            <w:tcW w:w="687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乡镇级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trPr>
        <w:tc>
          <w:tcPr>
            <w:tcW w:w="213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服务对象</w:t>
            </w:r>
          </w:p>
        </w:tc>
        <w:tc>
          <w:tcPr>
            <w:tcW w:w="687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自然人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213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w:t>
            </w:r>
          </w:p>
        </w:tc>
        <w:tc>
          <w:tcPr>
            <w:tcW w:w="26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20个工作日</w:t>
            </w:r>
          </w:p>
        </w:tc>
        <w:tc>
          <w:tcPr>
            <w:tcW w:w="13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法定办结时限备注</w:t>
            </w:r>
          </w:p>
        </w:tc>
        <w:tc>
          <w:tcPr>
            <w:tcW w:w="2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val="en-US" w:eastAsia="zh-CN"/>
              </w:rPr>
              <w:t>该事项无具体法定时限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6" w:hRule="atLeast"/>
        </w:trPr>
        <w:tc>
          <w:tcPr>
            <w:tcW w:w="213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w:t>
            </w:r>
          </w:p>
        </w:tc>
        <w:tc>
          <w:tcPr>
            <w:tcW w:w="26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r>
              <w:rPr>
                <w:rFonts w:hint="eastAsia" w:ascii="仿宋" w:hAnsi="仿宋" w:eastAsia="仿宋" w:cs="仿宋"/>
                <w:i w:val="0"/>
                <w:color w:val="000000"/>
                <w:sz w:val="22"/>
                <w:szCs w:val="22"/>
                <w:u w:val="none"/>
                <w:lang w:val="en-US" w:eastAsia="zh-CN"/>
              </w:rPr>
              <w:t>个工作日</w:t>
            </w:r>
          </w:p>
        </w:tc>
        <w:tc>
          <w:tcPr>
            <w:tcW w:w="13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承诺办结时限备注</w:t>
            </w:r>
          </w:p>
        </w:tc>
        <w:tc>
          <w:tcPr>
            <w:tcW w:w="2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2" w:hRule="atLeast"/>
        </w:trPr>
        <w:tc>
          <w:tcPr>
            <w:tcW w:w="213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受理条件</w:t>
            </w:r>
          </w:p>
        </w:tc>
        <w:tc>
          <w:tcPr>
            <w:tcW w:w="687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1.符合法律、法规、规章和规范性文件要求；</w:t>
            </w:r>
          </w:p>
          <w:p>
            <w:pPr>
              <w:keepNext w:val="0"/>
              <w:keepLines w:val="0"/>
              <w:widowControl/>
              <w:suppressLineNumbers w:val="0"/>
              <w:jc w:val="both"/>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2.补偿资金拨付到位；</w:t>
            </w:r>
          </w:p>
          <w:p>
            <w:pPr>
              <w:keepNext w:val="0"/>
              <w:keepLines w:val="0"/>
              <w:widowControl/>
              <w:suppressLineNumbers w:val="0"/>
              <w:jc w:val="both"/>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3.补偿资金具体发放方案已印发；</w:t>
            </w:r>
          </w:p>
          <w:p>
            <w:pPr>
              <w:keepNext w:val="0"/>
              <w:keepLines w:val="0"/>
              <w:widowControl/>
              <w:suppressLineNumbers w:val="0"/>
              <w:jc w:val="both"/>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4.村（居）民委员会张榜公布具体补偿金额无异议；</w:t>
            </w:r>
          </w:p>
          <w:p>
            <w:pPr>
              <w:keepNext w:val="0"/>
              <w:keepLines w:val="0"/>
              <w:widowControl/>
              <w:suppressLineNumbers w:val="0"/>
              <w:jc w:val="both"/>
              <w:textAlignment w:val="center"/>
              <w:rPr>
                <w:rFonts w:hint="default" w:eastAsia="宋体"/>
                <w:lang w:val="en-US" w:eastAsia="zh-CN"/>
              </w:rPr>
            </w:pPr>
            <w:r>
              <w:rPr>
                <w:rFonts w:hint="eastAsia" w:ascii="仿宋" w:hAnsi="仿宋" w:eastAsia="仿宋" w:cs="仿宋"/>
                <w:b w:val="0"/>
                <w:bCs w:val="0"/>
                <w:i w:val="0"/>
                <w:color w:val="000000"/>
                <w:sz w:val="22"/>
                <w:szCs w:val="22"/>
                <w:u w:val="none"/>
                <w:lang w:val="en-US" w:eastAsia="zh-CN"/>
              </w:rPr>
              <w:t>5.补偿凭证。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937"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申请材料</w:t>
            </w:r>
          </w:p>
        </w:tc>
        <w:tc>
          <w:tcPr>
            <w:tcW w:w="11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需申请人提供的材料</w:t>
            </w:r>
          </w:p>
        </w:tc>
        <w:tc>
          <w:tcPr>
            <w:tcW w:w="687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1.乡（镇）人民政府发放的补偿凭证</w:t>
            </w:r>
          </w:p>
          <w:p>
            <w:pPr>
              <w:keepNext w:val="0"/>
              <w:keepLines w:val="0"/>
              <w:widowControl/>
              <w:suppressLineNumbers w:val="0"/>
              <w:jc w:val="both"/>
              <w:textAlignment w:val="center"/>
              <w:rPr>
                <w:rFonts w:hint="default"/>
                <w:lang w:val="en-US" w:eastAsia="zh-CN"/>
              </w:rPr>
            </w:pPr>
            <w:r>
              <w:rPr>
                <w:rFonts w:hint="eastAsia" w:ascii="仿宋" w:hAnsi="仿宋" w:eastAsia="仿宋" w:cs="仿宋"/>
                <w:b w:val="0"/>
                <w:bCs w:val="0"/>
                <w:i w:val="0"/>
                <w:color w:val="000000"/>
                <w:sz w:val="22"/>
                <w:szCs w:val="22"/>
                <w:u w:val="none"/>
                <w:lang w:val="en-US" w:eastAsia="zh-CN"/>
              </w:rPr>
              <w:t>2.村（居）民委员会出具的证明和身份证明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1" w:hRule="atLeast"/>
        </w:trPr>
        <w:tc>
          <w:tcPr>
            <w:tcW w:w="937"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由审批部门通过电子证照库等系统自行调用的材料，申请人仅需携带原件供窗口核验</w:t>
            </w:r>
          </w:p>
        </w:tc>
        <w:tc>
          <w:tcPr>
            <w:tcW w:w="687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rPr>
            </w:pPr>
            <w:r>
              <w:rPr>
                <w:rFonts w:hint="eastAsia" w:ascii="仿宋" w:hAnsi="仿宋" w:eastAsia="仿宋" w:cs="仿宋"/>
                <w:i w:val="0"/>
                <w:color w:val="000000"/>
                <w:kern w:val="0"/>
                <w:sz w:val="22"/>
                <w:szCs w:val="22"/>
                <w:u w:val="none"/>
                <w:lang w:val="en-US" w:eastAsia="zh-CN" w:bidi="ar"/>
              </w:rPr>
              <w:t>身份证（数据共享，必要，无需纸质材料）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3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办理流程</w:t>
            </w:r>
          </w:p>
        </w:tc>
        <w:tc>
          <w:tcPr>
            <w:tcW w:w="687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申请受理-审核-登记并办结（同步报所在地区级人民政府指定部门备案）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3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是否收费</w:t>
            </w:r>
          </w:p>
        </w:tc>
        <w:tc>
          <w:tcPr>
            <w:tcW w:w="26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c>
          <w:tcPr>
            <w:tcW w:w="13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收费标准</w:t>
            </w:r>
          </w:p>
        </w:tc>
        <w:tc>
          <w:tcPr>
            <w:tcW w:w="2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3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收费依据</w:t>
            </w:r>
          </w:p>
        </w:tc>
        <w:tc>
          <w:tcPr>
            <w:tcW w:w="687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3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特别程序</w:t>
            </w:r>
          </w:p>
        </w:tc>
        <w:tc>
          <w:tcPr>
            <w:tcW w:w="687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3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通办范围</w:t>
            </w:r>
          </w:p>
        </w:tc>
        <w:tc>
          <w:tcPr>
            <w:tcW w:w="26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全镇（乡、街道）</w:t>
            </w:r>
          </w:p>
        </w:tc>
        <w:tc>
          <w:tcPr>
            <w:tcW w:w="13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联办机构</w:t>
            </w:r>
          </w:p>
        </w:tc>
        <w:tc>
          <w:tcPr>
            <w:tcW w:w="2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z w:val="22"/>
                <w:szCs w:val="22"/>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3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中介服务</w:t>
            </w:r>
          </w:p>
        </w:tc>
        <w:tc>
          <w:tcPr>
            <w:tcW w:w="26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c>
          <w:tcPr>
            <w:tcW w:w="13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数量限制</w:t>
            </w:r>
          </w:p>
        </w:tc>
        <w:tc>
          <w:tcPr>
            <w:tcW w:w="2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3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是否支持快递申请</w:t>
            </w:r>
          </w:p>
        </w:tc>
        <w:tc>
          <w:tcPr>
            <w:tcW w:w="26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是</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是否支持邮寄办理结果</w:t>
            </w:r>
          </w:p>
        </w:tc>
        <w:tc>
          <w:tcPr>
            <w:tcW w:w="2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3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是否支持鄂汇办办理</w:t>
            </w:r>
          </w:p>
        </w:tc>
        <w:tc>
          <w:tcPr>
            <w:tcW w:w="26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是否支持自助终端办理</w:t>
            </w:r>
          </w:p>
        </w:tc>
        <w:tc>
          <w:tcPr>
            <w:tcW w:w="2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3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跑动次数</w:t>
            </w:r>
          </w:p>
        </w:tc>
        <w:tc>
          <w:tcPr>
            <w:tcW w:w="26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必须到现场办理原因说明</w:t>
            </w:r>
          </w:p>
        </w:tc>
        <w:tc>
          <w:tcPr>
            <w:tcW w:w="2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213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是否网办</w:t>
            </w:r>
          </w:p>
        </w:tc>
        <w:tc>
          <w:tcPr>
            <w:tcW w:w="26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是</w:t>
            </w:r>
          </w:p>
        </w:tc>
        <w:tc>
          <w:tcPr>
            <w:tcW w:w="13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网办地址</w:t>
            </w:r>
          </w:p>
        </w:tc>
        <w:tc>
          <w:tcPr>
            <w:tcW w:w="2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single"/>
              </w:rPr>
            </w:pPr>
            <w:r>
              <w:rPr>
                <w:rFonts w:hint="eastAsia" w:ascii="仿宋" w:hAnsi="仿宋" w:eastAsia="仿宋" w:cs="仿宋"/>
                <w:i w:val="0"/>
                <w:color w:val="000000"/>
                <w:sz w:val="22"/>
                <w:szCs w:val="22"/>
                <w:u w:val="single"/>
              </w:rPr>
              <w:t>http://zwfw.hubei.gov.cn/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13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网办深度</w:t>
            </w:r>
          </w:p>
        </w:tc>
        <w:tc>
          <w:tcPr>
            <w:tcW w:w="687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z w:val="22"/>
                <w:szCs w:val="22"/>
                <w:u w:val="none"/>
              </w:rPr>
              <w:t>互联网办理结果信息反馈,互联网咨询,互联网收件,互联网预审,互联网受理,互联网办理</w:t>
            </w:r>
          </w:p>
        </w:tc>
      </w:tr>
    </w:tbl>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color w:val="333333"/>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方正小标宋简体">
    <w:altName w:val="黑体"/>
    <w:panose1 w:val="02000000000000000000"/>
    <w:charset w:val="86"/>
    <w:family w:val="swiss"/>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OGUxMzZkYjc3OWEyM2MwM2YyZmMwN2QwYzExMDgifQ=="/>
  </w:docVars>
  <w:rsids>
    <w:rsidRoot w:val="00000000"/>
    <w:rsid w:val="7E1F3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3"/>
    <w:basedOn w:val="1"/>
    <w:next w:val="1"/>
    <w:qFormat/>
    <w:uiPriority w:val="0"/>
    <w:pPr>
      <w:keepNext/>
      <w:keepLines/>
      <w:spacing w:before="1000" w:after="400"/>
      <w:jc w:val="center"/>
      <w:outlineLvl w:val="2"/>
    </w:pPr>
    <w:rPr>
      <w:rFonts w:ascii="公文小标宋简" w:eastAsia="公文小标宋简"/>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600" w:lineRule="exact"/>
      <w:ind w:firstLine="630"/>
    </w:pPr>
    <w:rPr>
      <w:rFonts w:eastAsia="黑体"/>
      <w:szCs w:val="24"/>
    </w:rPr>
  </w:style>
  <w:style w:type="paragraph" w:styleId="4">
    <w:name w:val="Body Text First Indent 2"/>
    <w:basedOn w:val="3"/>
    <w:unhideWhenUsed/>
    <w:uiPriority w:val="0"/>
    <w:pPr>
      <w:spacing w:after="120" w:line="240" w:lineRule="auto"/>
      <w:ind w:left="420" w:leftChars="200" w:firstLine="420" w:firstLineChars="200"/>
    </w:pPr>
    <w:rPr>
      <w:rFonts w:eastAsia="宋体"/>
      <w:sz w:val="21"/>
      <w:szCs w:val="20"/>
    </w:rPr>
  </w:style>
  <w:style w:type="character" w:customStyle="1" w:styleId="7">
    <w:name w:val="font11"/>
    <w:basedOn w:val="6"/>
    <w:qFormat/>
    <w:uiPriority w:val="0"/>
    <w:rPr>
      <w:rFonts w:hint="eastAsia" w:ascii="宋体" w:hAnsi="宋体" w:eastAsia="宋体" w:cs="宋体"/>
      <w:color w:val="000000"/>
      <w:sz w:val="16"/>
      <w:szCs w:val="16"/>
      <w:u w:val="none"/>
    </w:rPr>
  </w:style>
  <w:style w:type="character" w:customStyle="1" w:styleId="8">
    <w:name w:val="font101"/>
    <w:basedOn w:val="6"/>
    <w:qFormat/>
    <w:uiPriority w:val="0"/>
    <w:rPr>
      <w:rFonts w:hint="eastAsia" w:ascii="仿宋_GB2312" w:eastAsia="仿宋_GB2312" w:cs="仿宋_GB2312"/>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2022-08-29T03:25:37Z</dcterms:created>
  <dc:creator>QDD</dc:creator>
  <cp:lastModifiedBy>QDD</cp:lastModifiedBy>
  <dcterms:modified xsi:type="dcterms:W3CDTF">2022-08-29T03:25:50Z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8FA72D0C50074566810A0ECE5F2DCC8B</vt:lpwstr>
  </property>
</Properties>
</file>