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湖北省水利系统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先进集体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推荐名单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tbl>
      <w:tblPr>
        <w:tblStyle w:val="8"/>
        <w:tblW w:w="493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664"/>
        <w:gridCol w:w="10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354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序号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单   位</w:t>
            </w:r>
          </w:p>
        </w:tc>
        <w:tc>
          <w:tcPr>
            <w:tcW w:w="3693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先  进  事  迹  概  要（300字左右）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354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武汉市黄陂区水务和湖泊局</w:t>
            </w:r>
          </w:p>
        </w:tc>
        <w:tc>
          <w:tcPr>
            <w:tcW w:w="36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黄陂区水资源丰富，水利设施齐全。区水务和湖泊局以“五水战略”为引领，统筹推进水安全与水环境治理。通过提升防洪排涝能力，加固堤防、治理河道，构建全方位防御体系；加快环保督察整改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，后湖水质显著改善，总磷、氨氮浓度大幅下降；优化城乡供水，实现农村供水县域统管，推进水厂扩建与管网改造，保障饮水安全；强化排水许可与河湖管护，实现监管全覆盖，河湖水质持续达标。多项工作获省级以上荣誉，包括美丽河湖案例、标准化水厂及美丽移民村等。该局以实干担当推动水务高质量发展，为区域水安全与生态建设作出积极贡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354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武汉市新洲区水务和湖泊局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排水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科</w:t>
            </w:r>
          </w:p>
        </w:tc>
        <w:tc>
          <w:tcPr>
            <w:tcW w:w="36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精准研判2025年地下管网类超长期特别国债政策导向与申报要求，明确成员分工以及申报时间节点等。申报前开展片区内涝隐患深入摸排，深入分析新洲区排水管网现状改造需求，按照轻重缓急分片区谋划城北、城南、城东、邾城东南片共计4个排水防涝项目，总投资共计8.62亿元，力争将片区排涝标准提升至30年一遇，惠及邾城居民10万余人。申报过程中为确保工作有序推进，逐一审核并完善4个项目可研、初设及申报资料，对接有关专业技术人员组织10余轮审查，发现问题及时修正，把控申报资料的合规性和逻辑性；建立“日跟踪、周汇报”机制，持续对接省市区发改委，实时掌握评审动态，协调沟通兄弟部门20余次，解决项目资料更新、资金测算等堵点。最终，4个项目顺利完成申报并全部审核通过进入国家两部委绿灯项目库，其中城南、城东南2个项目共争取到国债资金2.2亿元，为新洲区邾城地区排水设施升级奠定坚实的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354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武汉市江夏区水务和</w:t>
            </w:r>
          </w:p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湖泊局</w:t>
            </w:r>
          </w:p>
        </w:tc>
        <w:tc>
          <w:tcPr>
            <w:tcW w:w="36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武汉市江夏区水务和湖泊局作为全区水行政主管部门，肩负着水务依法行政、水资源开发利用、河湖管理保护、排水污水处理、供水保障、水土保持、防汛抗旱等重要职责，内设4个科室、9个二级事业单位，现有编制159人。江夏区坐拥“江湖库渠交织”的水生态格局——湖泊22个（占武汉市湖泊总面积45%）、河流41条、水库94座、长江干堤32.6公里、排灌泵站192处，水安全与水生态事关区域发展全局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近年来，江夏区水务和湖泊局深入践行习近平总书记“节水优先、空间均衡、系统治理、两手发力”治水思路，主动服务湖北省“建成支点、走在前列、谱写新篇”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战略部署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以流域综合治理为总抓手，推动河湖长制考核连续三年位列全市新城区第一，累计完成城建水务投资77. 21亿元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成功抵御长江历史第9次洪水及持续旱情，建成省级水土保持科技示范园1个、市级小流域治理试点1个，连续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荣获区委区政府“立功单位”称号，为江夏经济社会高质量发展筑牢了“水安全屏障”、绘就了“水生态画卷”。先后获评“全省小微水体实施河湖长制工作成绩突出地区”、“湖北省公共机构节水型单位”、“全省河湖和水利工程划界确权工作成绩突出地区”、“武汉市文明单位”；2024年7月，“构建五防体系，以河湖长制促‘河湖长治’—江夏区河湖长制综合治理体系创新探索实践”获评2023年度湖北省全面推行河湖长制“十大典型案例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354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武汉市武昌区水务和湖泊局</w:t>
            </w:r>
          </w:p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93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近年来，武昌区水务和湖泊局围绕水安全、水环境安全全力补短板、强弱项、提质效。一是全面筑牢安澜屏障。共加固堤防8.7公里，整治江滩7.7万平方米，武昌堤防成功创建省级示范堤防。完成6处重点易积水点整治，改造渍水点20余处，新建雨水管网20余公里；2022年以来先后防范应对49场暴雨级以上强降雨，最大限度保证了强降雨期间城区排涝安全。二是供水服务持续优化。2022年以来先后完成201处居民小区二次供水设施整体改造及供水设施修缮，惠及居民2.19万户、7.4万人，改造规模全市第一。三是河湖生态环境显著改善。完成5处黑臭水体治理，公众满意度保持95%以上。内沙湖、四美塘和晒湖水质达Ⅱ类，其他3个湖泊水质连续四年稳定在Ⅲ类；5个湖泊获评市级“美丽河湖”，紫阳湖获评省级“幸福河湖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</w:trPr>
        <w:tc>
          <w:tcPr>
            <w:tcW w:w="354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武汉市江岸区河道堤防管理所</w:t>
            </w:r>
          </w:p>
        </w:tc>
        <w:tc>
          <w:tcPr>
            <w:tcW w:w="36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该单位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</w:rPr>
              <w:t>强化党建政治引领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，规定动作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</w:rPr>
              <w:t>100%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完成，创新开展微党课、党建品牌创建活动，党支部被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授予“市五星级基层党组织”、区“先进基层党组织”。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该单位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</w:rPr>
              <w:t>履行防汛职责，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落实备汛工作，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全员连续三周无休，战胜了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</w:rPr>
              <w:t>历史第九高、超设防42天的高水位。落实堤防养护，实施整险加固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，进行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</w:rPr>
              <w:t>设施维护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，开展白蚁治理，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</w:rPr>
              <w:t>堤防设施完好。落实堤防日常管理，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严控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</w:rPr>
              <w:t>“四乱”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现象，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</w:rPr>
              <w:t>监管涉河项目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，保持堤容堤貌良好。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</w:rPr>
              <w:t>加强区管江滩管理，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落实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</w:rPr>
              <w:t>绿化养护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</w:rPr>
              <w:t>提升文化氛围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，合理调配人力、积极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</w:rPr>
              <w:t>争取经费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，园区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</w:rPr>
              <w:t>运转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有序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积极承担社会责任，除冰防火防溺水，为辖区和谐稳定做贡献。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2023年被授予“市级水管单位”，2025年通过省级标准化管理评价，先进典型不断涌现。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354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武汉市水务局排水管理处</w:t>
            </w:r>
          </w:p>
        </w:tc>
        <w:tc>
          <w:tcPr>
            <w:tcW w:w="36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今年以来，我市共出现12轮较强降雨，武汉市水务局排水管理处提前部署，科学应对，全市总体应对较为平稳。一是扎实做好备汛工作，汛前全面完成重点地段5600余公里排水管网疏捞和排水设施、设备检修维护；制定66处重点易积水风险点“一点一策”；开展排水防涝应急演练，市区两级参演人数1200余人，强化应急保障。二是加强降雨期间调度处置，严格落实领导带班和24小时值班值守制度，加强水系调度和应急处置，全市累计出动人员3.4万余人次、设备9500余台次，中心城区主要排水泵站累计抽排水量4.62亿方。三是强化雨后复盘整改，每轮降雨结束后，及时开展复盘分析，不断优化水系调度，减轻积水风险，重点积水点组织深入分析研究，明确整改方案、整改时间和责任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354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52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cs="Times New Roman"/>
                <w:color w:val="auto"/>
                <w:sz w:val="24"/>
                <w:lang w:eastAsia="zh-CN"/>
              </w:rPr>
              <w:t>武汉市水务局供用水管理处（行政执法监督处）</w:t>
            </w:r>
            <w:bookmarkEnd w:id="0"/>
          </w:p>
        </w:tc>
        <w:tc>
          <w:tcPr>
            <w:tcW w:w="3693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ind w:firstLine="480" w:firstLineChars="200"/>
              <w:jc w:val="left"/>
              <w:rPr>
                <w:rFonts w:hint="eastAsia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4"/>
                <w:lang w:val="en-US" w:eastAsia="zh-CN"/>
              </w:rPr>
              <w:t>一是提高农村供水保障能力。持续推进农村供水设施提档升级建设及农村供水管网维修养护工程，不断提升供水基础设施服务效能。全市农村自来水普及率100%，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lang w:eastAsia="zh-CN"/>
              </w:rPr>
              <w:t>千吨万人水厂标准化管理覆盖率100%、规模化水厂供水覆盖率99.98%。</w:t>
            </w:r>
          </w:p>
          <w:p>
            <w:pPr>
              <w:tabs>
                <w:tab w:val="left" w:pos="1859"/>
              </w:tabs>
              <w:spacing w:line="40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4"/>
                <w:lang w:val="en-US" w:eastAsia="zh-CN"/>
              </w:rPr>
              <w:t>二是提升农村供水服务水平</w:t>
            </w:r>
            <w:r>
              <w:rPr>
                <w:rFonts w:hint="default" w:cs="Times New Roman"/>
                <w:b w:val="0"/>
                <w:bCs w:val="0"/>
                <w:color w:val="auto"/>
                <w:sz w:val="24"/>
                <w:lang w:val="en-US" w:eastAsia="zh-CN"/>
              </w:rPr>
              <w:t>。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lang w:val="en-US" w:eastAsia="zh-CN"/>
              </w:rPr>
              <w:t>以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lang w:val="en-US" w:eastAsia="zh-CN"/>
              </w:rPr>
              <w:t>农村供水集中整治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lang w:val="en-US" w:eastAsia="zh-CN"/>
              </w:rPr>
              <w:t>为契机，以农村供水投诉为依据开展农村供水保障工作差缺补漏。2025年1-10月，各新城区12345市民热线供水投诉总计12625件，其中黄陂区3770件，蔡甸区2856件，江夏区1711件，东西湖区1247件，长江新区1111件，经开(汉南)区989件，新洲区941件。较2025年下降约40%。</w:t>
            </w:r>
          </w:p>
          <w:p>
            <w:pPr>
              <w:tabs>
                <w:tab w:val="left" w:pos="1859"/>
              </w:tabs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4"/>
                <w:lang w:val="en-US" w:eastAsia="zh-CN"/>
              </w:rPr>
              <w:t>三是</w:t>
            </w:r>
            <w:r>
              <w:rPr>
                <w:rFonts w:hint="default" w:cs="Times New Roman"/>
                <w:b w:val="0"/>
                <w:bCs w:val="0"/>
                <w:color w:val="auto"/>
                <w:sz w:val="24"/>
                <w:lang w:val="en-US" w:eastAsia="zh-CN"/>
              </w:rPr>
              <w:t>推进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lang w:val="en-US" w:eastAsia="zh-CN"/>
              </w:rPr>
              <w:t>农村供水县域统管</w:t>
            </w:r>
            <w:r>
              <w:rPr>
                <w:rFonts w:hint="default" w:cs="Times New Roman"/>
                <w:b w:val="0"/>
                <w:bCs w:val="0"/>
                <w:color w:val="auto"/>
                <w:sz w:val="24"/>
                <w:lang w:val="en-US" w:eastAsia="zh-CN"/>
              </w:rPr>
              <w:t>。江夏、东西湖、蔡甸区内均已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lang w:val="en-US" w:eastAsia="zh-CN"/>
              </w:rPr>
              <w:t>实现</w:t>
            </w:r>
            <w:r>
              <w:rPr>
                <w:rFonts w:hint="default" w:cs="Times New Roman"/>
                <w:b w:val="0"/>
                <w:bCs w:val="0"/>
                <w:color w:val="auto"/>
                <w:sz w:val="24"/>
                <w:lang w:val="en-US" w:eastAsia="zh-CN"/>
              </w:rPr>
              <w:t>一个供水主体。黄陂区已完成北部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lang w:val="en-US" w:eastAsia="zh-CN"/>
              </w:rPr>
              <w:t>片区</w:t>
            </w:r>
            <w:r>
              <w:rPr>
                <w:rFonts w:hint="default" w:cs="Times New Roman"/>
                <w:b w:val="0"/>
                <w:bCs w:val="0"/>
                <w:color w:val="auto"/>
                <w:sz w:val="24"/>
                <w:lang w:val="en-US" w:eastAsia="zh-CN"/>
              </w:rPr>
              <w:t>13个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lang w:val="en-US" w:eastAsia="zh-CN"/>
              </w:rPr>
              <w:t>农村</w:t>
            </w:r>
            <w:r>
              <w:rPr>
                <w:rFonts w:hint="default" w:cs="Times New Roman"/>
                <w:b w:val="0"/>
                <w:bCs w:val="0"/>
                <w:color w:val="auto"/>
                <w:sz w:val="24"/>
                <w:lang w:val="en-US" w:eastAsia="zh-CN"/>
              </w:rPr>
              <w:t>供水主体整合，</w:t>
            </w:r>
            <w:r>
              <w:rPr>
                <w:rFonts w:hint="default" w:cs="Times New Roman"/>
                <w:color w:val="auto"/>
                <w:sz w:val="24"/>
                <w:lang w:val="en-US" w:eastAsia="zh-CN"/>
              </w:rPr>
              <w:t>新洲区7个民营水厂已全部完成整合框架协议签订，经开区3个供水主体已整合成2家。</w:t>
            </w:r>
          </w:p>
        </w:tc>
      </w:tr>
    </w:tbl>
    <w:p/>
    <w:sectPr>
      <w:pgSz w:w="16838" w:h="11906" w:orient="landscape"/>
      <w:pgMar w:top="840" w:right="1440" w:bottom="5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B251A"/>
    <w:rsid w:val="042E26EB"/>
    <w:rsid w:val="0DA12FED"/>
    <w:rsid w:val="145A1053"/>
    <w:rsid w:val="1EB47F21"/>
    <w:rsid w:val="1F6371EC"/>
    <w:rsid w:val="212F5B3C"/>
    <w:rsid w:val="246054ED"/>
    <w:rsid w:val="287F6754"/>
    <w:rsid w:val="291D5F9D"/>
    <w:rsid w:val="2D2554EB"/>
    <w:rsid w:val="326B251A"/>
    <w:rsid w:val="35935E58"/>
    <w:rsid w:val="38AB40CA"/>
    <w:rsid w:val="4C87000A"/>
    <w:rsid w:val="4CBD7E08"/>
    <w:rsid w:val="54855A18"/>
    <w:rsid w:val="5F2D5F1C"/>
    <w:rsid w:val="631253EB"/>
    <w:rsid w:val="649E5EE6"/>
    <w:rsid w:val="64D47EC1"/>
    <w:rsid w:val="66F52E78"/>
    <w:rsid w:val="6870653E"/>
    <w:rsid w:val="6D904D89"/>
    <w:rsid w:val="758B4AEE"/>
    <w:rsid w:val="7B386677"/>
    <w:rsid w:val="7C972FB2"/>
    <w:rsid w:val="7CAA31E7"/>
    <w:rsid w:val="7ECD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规范正文"/>
    <w:next w:val="1"/>
    <w:qFormat/>
    <w:uiPriority w:val="0"/>
    <w:pPr>
      <w:spacing w:line="560" w:lineRule="exact"/>
      <w:ind w:firstLine="640" w:firstLineChars="200"/>
      <w:jc w:val="both"/>
    </w:pPr>
    <w:rPr>
      <w:rFonts w:ascii="方正仿宋_GBK" w:hAnsi="方正仿宋_GBK" w:eastAsia="方正仿宋_GBK" w:cs="方正仿宋_GBK"/>
      <w:sz w:val="32"/>
      <w:szCs w:val="32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5"/>
    <w:qFormat/>
    <w:uiPriority w:val="0"/>
    <w:pPr>
      <w:spacing w:line="600" w:lineRule="exact"/>
      <w:ind w:firstLine="630"/>
    </w:pPr>
    <w:rPr>
      <w:rFonts w:eastAsia="黑体"/>
    </w:rPr>
  </w:style>
  <w:style w:type="paragraph" w:styleId="5">
    <w:name w:val="Body Text First Indent 2"/>
    <w:basedOn w:val="4"/>
    <w:next w:val="1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ormalCharacter"/>
    <w:link w:val="11"/>
    <w:semiHidden/>
    <w:qFormat/>
    <w:locked/>
    <w:uiPriority w:val="0"/>
    <w:rPr>
      <w:rFonts w:ascii="Calibri" w:hAnsi="Calibri"/>
      <w:kern w:val="0"/>
      <w:sz w:val="20"/>
      <w:szCs w:val="20"/>
    </w:rPr>
  </w:style>
  <w:style w:type="paragraph" w:customStyle="1" w:styleId="11">
    <w:name w:val="UserStyle_0"/>
    <w:basedOn w:val="1"/>
    <w:link w:val="10"/>
    <w:qFormat/>
    <w:uiPriority w:val="0"/>
    <w:pPr>
      <w:widowControl/>
      <w:spacing w:after="160" w:line="240" w:lineRule="exact"/>
      <w:jc w:val="left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1061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2025-10-30T04:34:00Z</dcterms:created>
  <dc:creator>Narcissus</dc:creator>
  <cp:lastModifiedBy>Narcissus</cp:lastModifiedBy>
  <cp:lastPrinted>2025-12-16T03:11:56Z</cp:lastPrinted>
  <dcterms:modified xsi:type="dcterms:W3CDTF">2025-12-19T01:09:44Z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