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3140" w:hRule="atLeast"/>
        </w:trPr>
        <w:tc>
          <w:tcPr>
            <w:tcW w:w="8522" w:type="dxa"/>
          </w:tcPr>
          <w:p>
            <w:pPr>
              <w:jc w:val="center"/>
              <w:rPr>
                <w:rFonts w:ascii="仿宋_GB2312" w:eastAsia="仿宋_GB2312"/>
                <w:b/>
                <w:sz w:val="32"/>
                <w:szCs w:val="32"/>
              </w:rPr>
            </w:pPr>
          </w:p>
          <w:p>
            <w:pPr>
              <w:jc w:val="center"/>
              <w:rPr>
                <w:rFonts w:ascii="仿宋_GB2312" w:eastAsia="仿宋_GB2312"/>
                <w:b/>
                <w:sz w:val="32"/>
                <w:szCs w:val="32"/>
              </w:rPr>
            </w:pPr>
          </w:p>
          <w:p>
            <w:pPr>
              <w:jc w:val="center"/>
              <w:rPr>
                <w:rFonts w:ascii="黑体" w:hAnsi="黑体" w:eastAsia="黑体"/>
                <w:b/>
                <w:sz w:val="36"/>
                <w:szCs w:val="36"/>
              </w:rPr>
            </w:pPr>
            <w:r>
              <w:rPr>
                <w:rFonts w:hint="eastAsia" w:ascii="黑体" w:hAnsi="黑体" w:eastAsia="黑体"/>
                <w:b/>
                <w:sz w:val="36"/>
                <w:szCs w:val="36"/>
              </w:rPr>
              <w:t>武汉市市直预算项目</w:t>
            </w:r>
          </w:p>
          <w:p>
            <w:pPr>
              <w:jc w:val="center"/>
              <w:rPr>
                <w:rFonts w:ascii="黑体" w:hAnsi="黑体" w:eastAsia="黑体"/>
                <w:b/>
                <w:sz w:val="32"/>
                <w:szCs w:val="32"/>
              </w:rPr>
            </w:pPr>
            <w:r>
              <w:rPr>
                <w:rFonts w:hint="eastAsia" w:ascii="黑体" w:hAnsi="黑体" w:eastAsia="黑体"/>
                <w:b/>
                <w:sz w:val="36"/>
                <w:szCs w:val="36"/>
              </w:rPr>
              <w:t>绩效自评报告</w:t>
            </w:r>
          </w:p>
          <w:p>
            <w:pPr>
              <w:jc w:val="center"/>
              <w:rPr>
                <w:rFonts w:ascii="黑体" w:hAnsi="黑体" w:eastAsia="黑体"/>
                <w:b/>
                <w:bCs/>
                <w:sz w:val="32"/>
                <w:szCs w:val="32"/>
              </w:rPr>
            </w:pP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p>
          <w:p>
            <w:pPr>
              <w:ind w:left="2518" w:leftChars="399" w:hanging="1680" w:hangingChars="600"/>
              <w:rPr>
                <w:rFonts w:ascii="黑体" w:hAnsi="黑体" w:eastAsia="黑体"/>
                <w:b/>
                <w:sz w:val="28"/>
                <w:szCs w:val="28"/>
              </w:rPr>
            </w:pPr>
            <w:r>
              <w:rPr>
                <w:rFonts w:hint="eastAsia" w:ascii="黑体" w:hAnsi="黑体" w:eastAsia="黑体"/>
                <w:bCs/>
                <w:sz w:val="28"/>
                <w:szCs w:val="28"/>
              </w:rPr>
              <w:t>项目名称：水利建设规划、水保方案编制、排水设施         基础模型建设项目</w:t>
            </w:r>
          </w:p>
          <w:p>
            <w:pPr>
              <w:tabs>
                <w:tab w:val="center" w:pos="4153"/>
              </w:tabs>
              <w:ind w:firstLine="840" w:firstLineChars="300"/>
              <w:rPr>
                <w:rFonts w:ascii="黑体" w:hAnsi="黑体" w:eastAsia="黑体"/>
                <w:bCs/>
                <w:sz w:val="28"/>
                <w:szCs w:val="28"/>
              </w:rPr>
            </w:pPr>
            <w:r>
              <w:rPr>
                <w:rFonts w:hint="eastAsia" w:ascii="黑体" w:hAnsi="黑体" w:eastAsia="黑体"/>
                <w:bCs/>
                <w:sz w:val="28"/>
                <w:szCs w:val="28"/>
              </w:rPr>
              <w:t>项目单位：武汉市水务科学研究院</w:t>
            </w:r>
          </w:p>
          <w:p>
            <w:pPr>
              <w:ind w:firstLine="840" w:firstLineChars="300"/>
              <w:rPr>
                <w:rFonts w:ascii="黑体" w:hAnsi="黑体" w:eastAsia="黑体"/>
                <w:bCs/>
                <w:sz w:val="28"/>
                <w:szCs w:val="28"/>
              </w:rPr>
            </w:pPr>
            <w:r>
              <w:rPr>
                <w:rFonts w:hint="eastAsia" w:ascii="黑体" w:hAnsi="黑体" w:eastAsia="黑体"/>
                <w:bCs/>
                <w:sz w:val="28"/>
                <w:szCs w:val="28"/>
              </w:rPr>
              <w:t>主管部门：武汉市水务局</w:t>
            </w:r>
          </w:p>
          <w:p>
            <w:pPr>
              <w:ind w:firstLine="840" w:firstLineChars="300"/>
              <w:rPr>
                <w:rFonts w:ascii="黑体" w:hAnsi="黑体" w:eastAsia="黑体"/>
                <w:bCs/>
                <w:sz w:val="28"/>
                <w:szCs w:val="28"/>
              </w:rPr>
            </w:pPr>
            <w:r>
              <w:rPr>
                <w:rFonts w:hint="eastAsia" w:ascii="黑体" w:hAnsi="黑体" w:eastAsia="黑体"/>
                <w:bCs/>
                <w:sz w:val="28"/>
                <w:szCs w:val="28"/>
              </w:rPr>
              <w:t>报告时间：二○一八年七月</w:t>
            </w:r>
          </w:p>
          <w:p>
            <w:pPr>
              <w:jc w:val="center"/>
              <w:rPr>
                <w:rFonts w:ascii="黑体" w:hAnsi="黑体" w:eastAsia="黑体"/>
                <w:bCs/>
                <w:sz w:val="32"/>
                <w:szCs w:val="32"/>
              </w:rPr>
            </w:pPr>
          </w:p>
          <w:p>
            <w:pPr>
              <w:jc w:val="center"/>
              <w:rPr>
                <w:rFonts w:ascii="仿宋_GB2312" w:eastAsia="仿宋_GB2312"/>
                <w:b/>
                <w:sz w:val="32"/>
                <w:szCs w:val="32"/>
              </w:rPr>
            </w:pPr>
          </w:p>
          <w:p>
            <w:pPr>
              <w:jc w:val="center"/>
              <w:rPr>
                <w:rFonts w:ascii="仿宋_GB2312" w:eastAsia="仿宋_GB2312"/>
                <w:b/>
                <w:sz w:val="32"/>
                <w:szCs w:val="32"/>
              </w:rPr>
            </w:pPr>
          </w:p>
        </w:tc>
      </w:tr>
    </w:tbl>
    <w:p>
      <w:pPr>
        <w:spacing w:line="360" w:lineRule="auto"/>
        <w:jc w:val="both"/>
        <w:outlineLvl w:val="0"/>
        <w:rPr>
          <w:rFonts w:ascii="黑体" w:hAnsi="黑体" w:eastAsia="黑体" w:cs="黑体"/>
          <w:bCs/>
          <w:sz w:val="28"/>
          <w:szCs w:val="28"/>
        </w:rPr>
      </w:pPr>
      <w:bookmarkStart w:id="0" w:name="_Toc511502513"/>
      <w:bookmarkStart w:id="1" w:name="_Toc511502514"/>
    </w:p>
    <w:p>
      <w:pPr>
        <w:spacing w:line="520" w:lineRule="exact"/>
        <w:jc w:val="center"/>
        <w:outlineLvl w:val="0"/>
        <w:rPr>
          <w:rFonts w:ascii="黑体" w:hAnsi="黑体" w:eastAsia="黑体" w:cs="黑体"/>
          <w:bCs/>
          <w:sz w:val="28"/>
          <w:szCs w:val="28"/>
        </w:rPr>
        <w:sectPr>
          <w:footerReference r:id="rId3" w:type="default"/>
          <w:pgSz w:w="11906" w:h="16838"/>
          <w:pgMar w:top="1440" w:right="1800" w:bottom="1440" w:left="1800" w:header="851" w:footer="992" w:gutter="0"/>
          <w:pgNumType w:start="1"/>
          <w:cols w:space="720" w:num="1"/>
          <w:docGrid w:type="lines" w:linePitch="312" w:charSpace="0"/>
        </w:sectPr>
      </w:pPr>
    </w:p>
    <w:bookmarkEnd w:id="0"/>
    <w:p>
      <w:pPr>
        <w:spacing w:line="520" w:lineRule="exact"/>
        <w:outlineLvl w:val="0"/>
        <w:rPr>
          <w:rFonts w:hint="eastAsia" w:ascii="黑体" w:hAnsi="黑体" w:eastAsia="黑体" w:cs="黑体"/>
          <w:bCs/>
          <w:sz w:val="28"/>
          <w:szCs w:val="28"/>
          <w:lang w:eastAsia="zh-CN"/>
        </w:rPr>
      </w:pPr>
      <w:r>
        <w:rPr>
          <w:rFonts w:hint="eastAsia" w:ascii="黑体" w:hAnsi="黑体" w:eastAsia="黑体" w:cs="黑体"/>
          <w:b/>
          <w:sz w:val="36"/>
          <w:szCs w:val="36"/>
          <w:lang w:val="en-US" w:eastAsia="zh-CN"/>
        </w:rPr>
        <w:t xml:space="preserve"> </w:t>
      </w:r>
      <w:bookmarkStart w:id="47" w:name="_GoBack"/>
      <w:bookmarkEnd w:id="47"/>
    </w:p>
    <w:p>
      <w:pPr>
        <w:spacing w:line="360" w:lineRule="auto"/>
        <w:ind w:firstLine="560" w:firstLineChars="200"/>
        <w:outlineLvl w:val="0"/>
        <w:rPr>
          <w:rFonts w:ascii="黑体" w:hAnsi="黑体" w:eastAsia="黑体" w:cs="黑体"/>
          <w:bCs/>
          <w:sz w:val="28"/>
          <w:szCs w:val="28"/>
        </w:rPr>
      </w:pPr>
      <w:bookmarkStart w:id="2" w:name="_Toc517708009"/>
      <w:r>
        <w:rPr>
          <w:rFonts w:hint="eastAsia" w:ascii="黑体" w:hAnsi="黑体" w:eastAsia="黑体" w:cs="黑体"/>
          <w:bCs/>
          <w:sz w:val="28"/>
          <w:szCs w:val="28"/>
        </w:rPr>
        <w:t>一、项目基本情况</w:t>
      </w:r>
      <w:bookmarkEnd w:id="1"/>
      <w:bookmarkEnd w:id="2"/>
    </w:p>
    <w:p>
      <w:pPr>
        <w:spacing w:line="360" w:lineRule="auto"/>
        <w:ind w:firstLine="560" w:firstLineChars="200"/>
        <w:outlineLvl w:val="1"/>
        <w:rPr>
          <w:rFonts w:ascii="仿宋" w:hAnsi="仿宋" w:eastAsia="仿宋"/>
          <w:bCs/>
          <w:sz w:val="28"/>
          <w:szCs w:val="28"/>
        </w:rPr>
      </w:pPr>
      <w:bookmarkStart w:id="3" w:name="_Toc511502515"/>
      <w:bookmarkStart w:id="4" w:name="_Toc517708010"/>
      <w:r>
        <w:rPr>
          <w:rFonts w:hint="eastAsia" w:ascii="仿宋" w:hAnsi="仿宋" w:eastAsia="仿宋"/>
          <w:bCs/>
          <w:sz w:val="28"/>
          <w:szCs w:val="28"/>
        </w:rPr>
        <w:t>（一）</w:t>
      </w:r>
      <w:bookmarkEnd w:id="3"/>
      <w:r>
        <w:rPr>
          <w:rFonts w:hint="eastAsia" w:ascii="仿宋" w:hAnsi="仿宋" w:eastAsia="仿宋"/>
          <w:bCs/>
          <w:sz w:val="28"/>
          <w:szCs w:val="28"/>
        </w:rPr>
        <w:t>项目概况</w:t>
      </w:r>
      <w:bookmarkEnd w:id="4"/>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武汉市水务科学研究院主要承担水务科研、水务行业规划研究和咨询服务、河道及水务设施监测、水土保持监测等公益服务职能；承担上级交办的其他事项。按照市水务局工作部署，进一步完善武汉市排水体系、完成新建和改造大中型泵站任务以及堤岸除险加固工程的设计，编制各项目水土保持方案，继续全力推进灾后重建设计工作，积极推进我院“深化改革、事企分开”实施工作，为武汉水务事业发展再立新功。</w:t>
      </w:r>
    </w:p>
    <w:p>
      <w:pPr>
        <w:spacing w:line="520" w:lineRule="exact"/>
        <w:ind w:firstLine="560" w:firstLineChars="200"/>
        <w:outlineLvl w:val="1"/>
        <w:rPr>
          <w:rFonts w:ascii="仿宋" w:hAnsi="仿宋" w:eastAsia="仿宋"/>
          <w:bCs/>
          <w:sz w:val="28"/>
          <w:szCs w:val="28"/>
        </w:rPr>
      </w:pPr>
      <w:bookmarkStart w:id="5" w:name="_Toc517708012"/>
      <w:bookmarkStart w:id="6" w:name="_Toc511502516"/>
      <w:r>
        <w:rPr>
          <w:rFonts w:hint="eastAsia" w:ascii="仿宋" w:hAnsi="仿宋" w:eastAsia="仿宋"/>
          <w:bCs/>
          <w:sz w:val="28"/>
          <w:szCs w:val="28"/>
        </w:rPr>
        <w:t>（</w:t>
      </w:r>
      <w:r>
        <w:rPr>
          <w:rFonts w:hint="eastAsia" w:ascii="仿宋" w:hAnsi="仿宋" w:eastAsia="仿宋"/>
          <w:bCs/>
          <w:sz w:val="28"/>
          <w:szCs w:val="28"/>
          <w:lang w:eastAsia="zh-CN"/>
        </w:rPr>
        <w:t>二</w:t>
      </w:r>
      <w:r>
        <w:rPr>
          <w:rFonts w:hint="eastAsia" w:ascii="仿宋" w:hAnsi="仿宋" w:eastAsia="仿宋"/>
          <w:bCs/>
          <w:sz w:val="28"/>
          <w:szCs w:val="28"/>
        </w:rPr>
        <w:t>）经费来源及支出情况</w:t>
      </w:r>
      <w:bookmarkEnd w:id="5"/>
      <w:bookmarkEnd w:id="6"/>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2017年项目预算投资3618.84万元，其中一般公共预算财政拨款收入137.34万元、其他收入3481.50万元。项目预算投资具体情况：武汉市主城区（武昌、汉阳地区）排水设施水力基础模型项目137.34万元，2017年农田水利建设规划项目302万元，武汉市水土保持监测各开发建设项目水保方案编制项目3179.50万元。</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截止2017年12月31日，预算项目支出3618.84万元，其中：武汉市主城区（武昌、汉阳地区）排水设施水力基础模型项目137.34万元，2017年农田水利建设规划项目302万元，武汉市水土保持监测各开发建设项目水保方案编制项目3179.50万元。</w:t>
      </w:r>
    </w:p>
    <w:p>
      <w:pPr>
        <w:spacing w:line="360" w:lineRule="auto"/>
        <w:ind w:firstLine="560" w:firstLineChars="200"/>
        <w:outlineLvl w:val="0"/>
        <w:rPr>
          <w:rFonts w:ascii="黑体" w:hAnsi="黑体" w:eastAsia="黑体" w:cs="黑体"/>
          <w:b/>
          <w:bCs/>
          <w:sz w:val="28"/>
          <w:szCs w:val="28"/>
        </w:rPr>
      </w:pPr>
      <w:bookmarkStart w:id="7" w:name="_Toc517708013"/>
      <w:bookmarkStart w:id="8" w:name="_Toc511502532"/>
      <w:bookmarkStart w:id="9" w:name="_Toc7334"/>
      <w:r>
        <w:rPr>
          <w:rFonts w:hint="eastAsia" w:ascii="仿宋" w:hAnsi="仿宋" w:eastAsia="仿宋"/>
          <w:bCs/>
          <w:sz w:val="28"/>
          <w:szCs w:val="28"/>
          <w:lang w:val="en-US" w:eastAsia="zh-CN"/>
        </w:rPr>
        <w:t xml:space="preserve"> </w:t>
      </w:r>
      <w:r>
        <w:rPr>
          <w:rFonts w:hint="eastAsia" w:ascii="黑体" w:hAnsi="黑体" w:eastAsia="黑体" w:cs="黑体"/>
          <w:b/>
          <w:bCs/>
          <w:sz w:val="28"/>
          <w:szCs w:val="28"/>
        </w:rPr>
        <w:t>二、绩效评价工作情况</w:t>
      </w:r>
      <w:bookmarkEnd w:id="7"/>
      <w:bookmarkEnd w:id="8"/>
      <w:bookmarkEnd w:id="9"/>
    </w:p>
    <w:p>
      <w:pPr>
        <w:spacing w:line="360" w:lineRule="auto"/>
        <w:ind w:firstLine="560" w:firstLineChars="200"/>
        <w:outlineLvl w:val="1"/>
        <w:rPr>
          <w:rFonts w:ascii="仿宋" w:hAnsi="仿宋" w:eastAsia="仿宋"/>
          <w:sz w:val="28"/>
          <w:szCs w:val="28"/>
        </w:rPr>
      </w:pPr>
      <w:bookmarkStart w:id="10" w:name="_Toc19011"/>
      <w:bookmarkStart w:id="11" w:name="_Toc511502533"/>
      <w:bookmarkStart w:id="12" w:name="_Toc517708014"/>
      <w:r>
        <w:rPr>
          <w:rFonts w:hint="eastAsia" w:ascii="仿宋" w:hAnsi="仿宋" w:eastAsia="仿宋"/>
          <w:sz w:val="28"/>
          <w:szCs w:val="28"/>
        </w:rPr>
        <w:t>（一）绩效评价目的</w:t>
      </w:r>
      <w:bookmarkEnd w:id="10"/>
      <w:bookmarkEnd w:id="11"/>
      <w:bookmarkEnd w:id="12"/>
    </w:p>
    <w:p>
      <w:pPr>
        <w:spacing w:line="360" w:lineRule="auto"/>
        <w:ind w:firstLine="560" w:firstLineChars="200"/>
        <w:rPr>
          <w:rFonts w:ascii="仿宋" w:hAnsi="仿宋" w:eastAsia="仿宋"/>
          <w:sz w:val="28"/>
          <w:szCs w:val="28"/>
        </w:rPr>
      </w:pPr>
      <w:r>
        <w:rPr>
          <w:rFonts w:hint="eastAsia" w:ascii="仿宋" w:hAnsi="仿宋" w:eastAsia="仿宋"/>
          <w:sz w:val="28"/>
          <w:szCs w:val="28"/>
        </w:rPr>
        <w:t>通过绩效评价，形成真实完整、数据准确、分析透彻、逻辑清晰、客观公正的绩效评价结论，强化预算绩效管理提供重要依据。</w:t>
      </w:r>
      <w:r>
        <w:rPr>
          <w:rFonts w:hint="eastAsia" w:ascii="仿宋" w:hAnsi="仿宋" w:eastAsia="仿宋"/>
          <w:sz w:val="28"/>
          <w:szCs w:val="28"/>
          <w:lang w:val="en-US" w:eastAsia="zh-CN"/>
        </w:rPr>
        <w:t xml:space="preserve"> </w:t>
      </w:r>
      <w:r>
        <w:rPr>
          <w:rFonts w:hint="eastAsia" w:ascii="仿宋" w:hAnsi="仿宋" w:eastAsia="仿宋"/>
          <w:sz w:val="28"/>
          <w:szCs w:val="28"/>
        </w:rPr>
        <w:t>准确掌握</w:t>
      </w:r>
      <w:r>
        <w:rPr>
          <w:rFonts w:hint="eastAsia" w:ascii="仿宋" w:hAnsi="仿宋" w:eastAsia="仿宋"/>
          <w:bCs/>
          <w:sz w:val="28"/>
          <w:szCs w:val="28"/>
        </w:rPr>
        <w:t>项目</w:t>
      </w:r>
      <w:r>
        <w:rPr>
          <w:rFonts w:hint="eastAsia" w:ascii="仿宋" w:hAnsi="仿宋" w:eastAsia="仿宋"/>
          <w:sz w:val="28"/>
          <w:szCs w:val="28"/>
        </w:rPr>
        <w:t>的实施情况、资金使用情况，发现项目实施的困难和问题，总结项目实施的经验和教训，为项目实施的进一步深化提供有益帮助。</w:t>
      </w:r>
    </w:p>
    <w:p>
      <w:pPr>
        <w:spacing w:line="360" w:lineRule="auto"/>
        <w:ind w:firstLine="560" w:firstLineChars="200"/>
        <w:outlineLvl w:val="1"/>
        <w:rPr>
          <w:rFonts w:ascii="仿宋" w:hAnsi="仿宋" w:eastAsia="仿宋"/>
          <w:sz w:val="28"/>
          <w:szCs w:val="28"/>
        </w:rPr>
      </w:pPr>
      <w:bookmarkStart w:id="13" w:name="_Toc517708015"/>
      <w:bookmarkStart w:id="14" w:name="_Toc30201"/>
      <w:bookmarkStart w:id="15" w:name="_Toc511502534"/>
      <w:r>
        <w:rPr>
          <w:rFonts w:hint="eastAsia" w:ascii="仿宋" w:hAnsi="仿宋" w:eastAsia="仿宋"/>
          <w:sz w:val="28"/>
          <w:szCs w:val="28"/>
        </w:rPr>
        <w:t>（二）绩效评价框架</w:t>
      </w:r>
      <w:bookmarkEnd w:id="13"/>
      <w:bookmarkEnd w:id="14"/>
      <w:bookmarkEnd w:id="15"/>
    </w:p>
    <w:p>
      <w:pPr>
        <w:spacing w:line="360" w:lineRule="auto"/>
        <w:ind w:firstLine="560" w:firstLineChars="200"/>
        <w:rPr>
          <w:rFonts w:ascii="仿宋" w:hAnsi="仿宋" w:eastAsia="仿宋"/>
          <w:sz w:val="28"/>
          <w:szCs w:val="28"/>
        </w:rPr>
      </w:pPr>
      <w:r>
        <w:rPr>
          <w:rFonts w:hint="eastAsia" w:ascii="仿宋" w:hAnsi="仿宋" w:eastAsia="仿宋"/>
          <w:sz w:val="28"/>
          <w:szCs w:val="28"/>
        </w:rPr>
        <w:t>绩效评价框架是开展绩效评价的核心，绩效评价框架包括各级指标名称、权重、指标解释、指标说明、目标值、绩效标准和评分细则等方面。</w:t>
      </w:r>
      <w:r>
        <w:rPr>
          <w:rFonts w:hint="eastAsia" w:ascii="仿宋" w:hAnsi="仿宋" w:eastAsia="仿宋"/>
          <w:bCs/>
          <w:sz w:val="28"/>
          <w:szCs w:val="28"/>
        </w:rPr>
        <w:t>项目</w:t>
      </w:r>
      <w:r>
        <w:rPr>
          <w:rFonts w:hint="eastAsia" w:ascii="仿宋" w:hAnsi="仿宋" w:eastAsia="仿宋"/>
          <w:sz w:val="28"/>
          <w:szCs w:val="28"/>
        </w:rPr>
        <w:t>绩效评价指标体系的设计参照《湖北省财政支出绩效评价指标体系框架》，投入和过程在此框架的基础上结合项目的特点适当进行完善，产出和效果根据项目特点进行了细化。</w:t>
      </w:r>
    </w:p>
    <w:p>
      <w:pPr>
        <w:spacing w:line="360" w:lineRule="auto"/>
        <w:ind w:firstLine="560" w:firstLineChars="200"/>
        <w:rPr>
          <w:rFonts w:ascii="仿宋" w:hAnsi="仿宋" w:eastAsia="仿宋"/>
          <w:sz w:val="28"/>
          <w:szCs w:val="28"/>
        </w:rPr>
      </w:pPr>
      <w:r>
        <w:rPr>
          <w:rFonts w:hint="eastAsia" w:ascii="仿宋" w:hAnsi="仿宋" w:eastAsia="仿宋"/>
          <w:sz w:val="28"/>
          <w:szCs w:val="28"/>
        </w:rPr>
        <w:t>1.评价指标</w:t>
      </w:r>
    </w:p>
    <w:p>
      <w:pPr>
        <w:spacing w:line="360" w:lineRule="auto"/>
        <w:ind w:firstLine="560" w:firstLineChars="200"/>
        <w:rPr>
          <w:rFonts w:ascii="仿宋" w:hAnsi="仿宋" w:eastAsia="仿宋"/>
          <w:sz w:val="28"/>
          <w:szCs w:val="28"/>
        </w:rPr>
      </w:pPr>
      <w:r>
        <w:rPr>
          <w:rFonts w:hint="eastAsia" w:ascii="仿宋" w:hAnsi="仿宋" w:eastAsia="仿宋"/>
          <w:sz w:val="28"/>
          <w:szCs w:val="28"/>
        </w:rPr>
        <w:t>绩效评价将指标分为投入、过程、产出和效果四个层次，设置了4个一级指标、11个二级指标、19个三级指标。</w:t>
      </w:r>
    </w:p>
    <w:p>
      <w:pPr>
        <w:tabs>
          <w:tab w:val="center" w:pos="4549"/>
        </w:tabs>
        <w:spacing w:line="360" w:lineRule="auto"/>
        <w:ind w:firstLine="700" w:firstLineChars="250"/>
        <w:jc w:val="left"/>
        <w:rPr>
          <w:rFonts w:ascii="仿宋" w:hAnsi="仿宋" w:eastAsia="仿宋"/>
          <w:sz w:val="28"/>
          <w:szCs w:val="28"/>
        </w:rPr>
      </w:pPr>
      <w:r>
        <w:rPr>
          <w:rFonts w:hint="eastAsia" w:ascii="宋体" w:hAnsi="宋体"/>
          <w:sz w:val="28"/>
          <w:szCs w:val="28"/>
        </w:rPr>
        <w:t>2.</w:t>
      </w:r>
      <w:r>
        <w:rPr>
          <w:rFonts w:hint="eastAsia" w:ascii="仿宋" w:hAnsi="仿宋" w:eastAsia="仿宋"/>
          <w:sz w:val="28"/>
          <w:szCs w:val="28"/>
        </w:rPr>
        <w:t>权重</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根据本项目特点及各指标维度、类别考评内容，确定各个指标相对于项目总体绩效的权重分值。最终确的项目投入权重为12%，项目过程权重值占28%，项目产出权重值占30%，项目效益权重值占30%。</w:t>
      </w:r>
    </w:p>
    <w:p>
      <w:pPr>
        <w:spacing w:line="360" w:lineRule="auto"/>
        <w:ind w:firstLine="560" w:firstLineChars="200"/>
        <w:rPr>
          <w:rFonts w:ascii="仿宋" w:hAnsi="仿宋" w:eastAsia="仿宋"/>
          <w:sz w:val="28"/>
          <w:szCs w:val="28"/>
        </w:rPr>
      </w:pPr>
      <w:r>
        <w:rPr>
          <w:rFonts w:hint="eastAsia" w:ascii="仿宋" w:hAnsi="仿宋" w:eastAsia="仿宋"/>
          <w:sz w:val="28"/>
          <w:szCs w:val="28"/>
        </w:rPr>
        <w:t>3.指标说明</w:t>
      </w:r>
    </w:p>
    <w:p>
      <w:pPr>
        <w:spacing w:line="360" w:lineRule="auto"/>
        <w:ind w:firstLine="560" w:firstLineChars="200"/>
        <w:rPr>
          <w:rFonts w:ascii="仿宋" w:hAnsi="仿宋" w:eastAsia="仿宋"/>
          <w:sz w:val="28"/>
          <w:szCs w:val="28"/>
        </w:rPr>
      </w:pPr>
      <w:r>
        <w:rPr>
          <w:rFonts w:hint="eastAsia" w:ascii="仿宋" w:hAnsi="仿宋" w:eastAsia="仿宋"/>
          <w:bCs/>
          <w:sz w:val="28"/>
          <w:szCs w:val="28"/>
        </w:rPr>
        <w:t>项目</w:t>
      </w:r>
      <w:r>
        <w:rPr>
          <w:rFonts w:hint="eastAsia" w:ascii="仿宋" w:hAnsi="仿宋" w:eastAsia="仿宋"/>
          <w:sz w:val="28"/>
          <w:szCs w:val="28"/>
        </w:rPr>
        <w:t>绩效评价指标体系指标说明确定了三级指标评分的要点，指出定性指标的评价核心，定量指标的指标实现值的计算公式、数据口径，说明了19个三级指标设置的目的，指导三级指标评价的方向。</w:t>
      </w:r>
    </w:p>
    <w:p>
      <w:pPr>
        <w:spacing w:line="360" w:lineRule="auto"/>
        <w:ind w:firstLine="560" w:firstLineChars="200"/>
        <w:rPr>
          <w:rFonts w:ascii="仿宋" w:hAnsi="仿宋" w:eastAsia="仿宋"/>
          <w:sz w:val="28"/>
          <w:szCs w:val="28"/>
        </w:rPr>
      </w:pPr>
      <w:bookmarkStart w:id="16" w:name="_1460038659"/>
      <w:bookmarkEnd w:id="16"/>
      <w:bookmarkStart w:id="17" w:name="_1460038687"/>
      <w:bookmarkEnd w:id="17"/>
      <w:bookmarkStart w:id="18" w:name="_1460038730"/>
      <w:bookmarkEnd w:id="18"/>
      <w:bookmarkStart w:id="19" w:name="_1460038714"/>
      <w:bookmarkEnd w:id="19"/>
      <w:bookmarkStart w:id="20" w:name="_1460038655"/>
      <w:bookmarkEnd w:id="20"/>
      <w:bookmarkStart w:id="21" w:name="_1460181815"/>
      <w:bookmarkEnd w:id="21"/>
      <w:r>
        <w:rPr>
          <w:rFonts w:hint="eastAsia" w:ascii="仿宋" w:hAnsi="仿宋" w:eastAsia="仿宋"/>
          <w:sz w:val="28"/>
          <w:szCs w:val="28"/>
        </w:rPr>
        <w:t>4.指标目标值</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指标目标值是绩效评价指标的尺度，既要反映同类项目的先进水平，又要符合项目的实际绩效水平。</w:t>
      </w:r>
      <w:r>
        <w:rPr>
          <w:rFonts w:hint="eastAsia" w:ascii="仿宋" w:hAnsi="仿宋" w:eastAsia="仿宋"/>
          <w:bCs/>
          <w:sz w:val="28"/>
          <w:szCs w:val="28"/>
        </w:rPr>
        <w:t>项目</w:t>
      </w:r>
      <w:r>
        <w:rPr>
          <w:rFonts w:hint="eastAsia" w:ascii="仿宋" w:hAnsi="仿宋" w:eastAsia="仿宋"/>
          <w:sz w:val="28"/>
          <w:szCs w:val="28"/>
        </w:rPr>
        <w:t>绩效评价指标目标值以项目计划目标确定。</w:t>
      </w:r>
    </w:p>
    <w:p>
      <w:pPr>
        <w:spacing w:line="360" w:lineRule="auto"/>
        <w:ind w:firstLine="560" w:firstLineChars="200"/>
        <w:rPr>
          <w:rFonts w:ascii="仿宋" w:hAnsi="仿宋" w:eastAsia="仿宋"/>
          <w:sz w:val="28"/>
          <w:szCs w:val="28"/>
        </w:rPr>
      </w:pPr>
      <w:r>
        <w:rPr>
          <w:rFonts w:hint="eastAsia" w:ascii="仿宋" w:hAnsi="仿宋" w:eastAsia="仿宋"/>
          <w:sz w:val="28"/>
          <w:szCs w:val="28"/>
        </w:rPr>
        <w:t>5.绩效标准</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此次绩效评价指标标准为行业标准和计划标准。项目管理和财务管理采用国家财务相关法律法规，产出和效果指标采用计划指标值作为绩效评价标准。</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6.评分细则</w:t>
      </w:r>
    </w:p>
    <w:p>
      <w:pPr>
        <w:spacing w:line="360" w:lineRule="auto"/>
        <w:ind w:firstLine="560" w:firstLineChars="200"/>
        <w:rPr>
          <w:rFonts w:ascii="仿宋" w:hAnsi="仿宋" w:eastAsia="仿宋"/>
          <w:sz w:val="28"/>
          <w:szCs w:val="28"/>
        </w:rPr>
      </w:pPr>
      <w:r>
        <w:rPr>
          <w:rFonts w:hint="eastAsia" w:ascii="仿宋" w:hAnsi="仿宋" w:eastAsia="仿宋"/>
          <w:bCs/>
          <w:sz w:val="28"/>
          <w:szCs w:val="28"/>
        </w:rPr>
        <w:t>项目</w:t>
      </w:r>
      <w:r>
        <w:rPr>
          <w:rFonts w:hint="eastAsia" w:ascii="仿宋" w:hAnsi="仿宋" w:eastAsia="仿宋"/>
          <w:sz w:val="28"/>
          <w:szCs w:val="28"/>
        </w:rPr>
        <w:t>绩效评价指标体系中三级指标评分是在指标说明评分要点的基础上进行的，定性指标对评分要点分段量化得分，定量指标按量化量直接评分。通过项目实施单位项目档案、财务资料进行检查，结合问卷调查和实地考察情况，</w:t>
      </w:r>
      <w:r>
        <w:rPr>
          <w:rFonts w:hint="eastAsia" w:ascii="仿宋" w:hAnsi="仿宋" w:eastAsia="仿宋"/>
          <w:sz w:val="28"/>
          <w:szCs w:val="28"/>
          <w:lang w:val="en-US" w:eastAsia="zh-CN"/>
        </w:rPr>
        <w:t xml:space="preserve"> </w:t>
      </w:r>
      <w:r>
        <w:rPr>
          <w:rFonts w:hint="eastAsia" w:ascii="仿宋" w:hAnsi="仿宋" w:eastAsia="仿宋"/>
          <w:sz w:val="28"/>
          <w:szCs w:val="28"/>
        </w:rPr>
        <w:t>对项目的实施进展情况对每个指标进行独立评价和打分，在此基础上形成项目的整体得分。</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根据《湖北省财政项目资金绩效评价操作指南》中财政项目绩效评价结果级别评定相关要求，绩效评价总分值100分，根据综合评分结果，90分以上的为优秀、80-90分为良好，60-80分为中等，60分以下为差。</w:t>
      </w:r>
    </w:p>
    <w:p>
      <w:pPr>
        <w:spacing w:line="360" w:lineRule="auto"/>
        <w:ind w:firstLine="560" w:firstLineChars="200"/>
        <w:outlineLvl w:val="0"/>
        <w:rPr>
          <w:rFonts w:ascii="黑体" w:hAnsi="黑体" w:eastAsia="黑体" w:cs="黑体"/>
          <w:sz w:val="28"/>
          <w:szCs w:val="28"/>
        </w:rPr>
      </w:pPr>
      <w:bookmarkStart w:id="22" w:name="_Toc511502536"/>
      <w:bookmarkStart w:id="23" w:name="_Toc517708016"/>
      <w:r>
        <w:rPr>
          <w:rFonts w:hint="eastAsia" w:ascii="黑体" w:hAnsi="黑体" w:eastAsia="黑体" w:cs="黑体"/>
          <w:sz w:val="28"/>
          <w:szCs w:val="28"/>
        </w:rPr>
        <w:t>三、绩效分析及评价结论</w:t>
      </w:r>
      <w:bookmarkEnd w:id="22"/>
      <w:bookmarkEnd w:id="23"/>
    </w:p>
    <w:p>
      <w:pPr>
        <w:spacing w:line="360" w:lineRule="auto"/>
        <w:ind w:firstLine="560" w:firstLineChars="200"/>
        <w:outlineLvl w:val="1"/>
        <w:rPr>
          <w:rFonts w:ascii="仿宋" w:hAnsi="仿宋" w:eastAsia="仿宋"/>
          <w:sz w:val="28"/>
          <w:szCs w:val="28"/>
        </w:rPr>
      </w:pPr>
      <w:bookmarkStart w:id="24" w:name="_Toc8923"/>
      <w:bookmarkStart w:id="25" w:name="_Toc517708017"/>
      <w:bookmarkStart w:id="26" w:name="_Toc511502539"/>
      <w:r>
        <w:rPr>
          <w:rFonts w:hint="eastAsia" w:ascii="仿宋" w:hAnsi="仿宋" w:eastAsia="仿宋"/>
          <w:sz w:val="28"/>
          <w:szCs w:val="28"/>
        </w:rPr>
        <w:t>（一）</w:t>
      </w:r>
      <w:bookmarkEnd w:id="24"/>
      <w:r>
        <w:rPr>
          <w:rFonts w:hint="eastAsia" w:ascii="仿宋" w:hAnsi="仿宋" w:eastAsia="仿宋"/>
          <w:sz w:val="28"/>
          <w:szCs w:val="28"/>
        </w:rPr>
        <w:t>绩效分析及绩效指标完成情况</w:t>
      </w:r>
      <w:bookmarkEnd w:id="25"/>
      <w:bookmarkEnd w:id="26"/>
    </w:p>
    <w:p>
      <w:pPr>
        <w:spacing w:line="360" w:lineRule="auto"/>
        <w:outlineLvl w:val="2"/>
        <w:rPr>
          <w:rFonts w:ascii="仿宋" w:hAnsi="仿宋" w:eastAsia="仿宋"/>
          <w:bCs/>
          <w:sz w:val="28"/>
          <w:szCs w:val="28"/>
        </w:rPr>
      </w:pPr>
      <w:r>
        <w:rPr>
          <w:rFonts w:hint="eastAsia" w:ascii="仿宋" w:hAnsi="仿宋" w:eastAsia="仿宋"/>
          <w:bCs/>
          <w:sz w:val="28"/>
          <w:szCs w:val="28"/>
        </w:rPr>
        <w:t xml:space="preserve">    </w:t>
      </w:r>
      <w:bookmarkStart w:id="27" w:name="_Toc517708018"/>
      <w:r>
        <w:rPr>
          <w:rFonts w:hint="eastAsia" w:ascii="仿宋" w:hAnsi="仿宋" w:eastAsia="仿宋"/>
          <w:bCs/>
          <w:sz w:val="28"/>
          <w:szCs w:val="28"/>
        </w:rPr>
        <w:t>1.项目投入</w:t>
      </w:r>
      <w:bookmarkEnd w:id="27"/>
    </w:p>
    <w:p>
      <w:pPr>
        <w:spacing w:line="360" w:lineRule="auto"/>
        <w:ind w:firstLine="560" w:firstLineChars="200"/>
        <w:rPr>
          <w:rFonts w:ascii="仿宋" w:hAnsi="仿宋" w:eastAsia="仿宋"/>
          <w:sz w:val="28"/>
          <w:szCs w:val="28"/>
        </w:rPr>
      </w:pPr>
      <w:r>
        <w:rPr>
          <w:rFonts w:hint="eastAsia" w:ascii="仿宋" w:hAnsi="仿宋" w:eastAsia="仿宋"/>
          <w:sz w:val="28"/>
          <w:szCs w:val="28"/>
        </w:rPr>
        <w:t>本项指标总分为12分，实际得分10分，得分率83.33%，项目投入具体评价如下：</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（1）依据充分性</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武汉市主城区（武昌、汉阳地区）排水设施水力基础模型项目、2017年农田水利建设规划项目、武汉市水土保持监测各开发建设项目水保方案编制项目立项依据充分，立项申请现由符合规定，项目申报的主要内容完整。</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（2）目标合理性</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项目的实施是为提高区域排涝标准，严格执行水土保持相关规范及标准，确保农田水利基础设施达标，完善和深化武汉排水信息化体系。绩效目标符合国家相关法律法规、武汉市经济发展规划，体现了履行发展水务事业的职责。</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（3）指标明确性</w:t>
      </w:r>
    </w:p>
    <w:p>
      <w:pPr>
        <w:spacing w:line="360" w:lineRule="auto"/>
        <w:rPr>
          <w:rFonts w:hint="eastAsia" w:ascii="仿宋" w:hAnsi="仿宋" w:eastAsia="仿宋"/>
          <w:bCs/>
          <w:sz w:val="28"/>
          <w:szCs w:val="28"/>
          <w:lang w:val="en-US" w:eastAsia="zh-CN"/>
        </w:rPr>
      </w:pPr>
      <w:r>
        <w:rPr>
          <w:rFonts w:hint="eastAsia" w:ascii="仿宋" w:hAnsi="仿宋" w:eastAsia="仿宋"/>
          <w:bCs/>
          <w:sz w:val="28"/>
          <w:szCs w:val="28"/>
        </w:rPr>
        <w:t xml:space="preserve">    项目设立了年度绩效指标，指标设置较为科学。</w:t>
      </w:r>
      <w:r>
        <w:rPr>
          <w:rFonts w:hint="eastAsia" w:ascii="仿宋" w:hAnsi="仿宋" w:eastAsia="仿宋"/>
          <w:bCs/>
          <w:sz w:val="28"/>
          <w:szCs w:val="28"/>
          <w:lang w:val="en-US" w:eastAsia="zh-CN"/>
        </w:rPr>
        <w:t xml:space="preserve"> </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（4）资金执行率</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lang w:val="en-US" w:eastAsia="zh-CN"/>
        </w:rPr>
        <w:t xml:space="preserve"> </w:t>
      </w:r>
      <w:r>
        <w:rPr>
          <w:rFonts w:hint="eastAsia" w:ascii="仿宋" w:hAnsi="仿宋" w:eastAsia="仿宋"/>
          <w:bCs/>
          <w:sz w:val="28"/>
          <w:szCs w:val="28"/>
        </w:rPr>
        <w:t>2017年项目支出预算3618.84万元，同口径预算实际支出3618.84万元，项目预算执行率为100</w:t>
      </w:r>
      <w:r>
        <w:rPr>
          <w:rFonts w:ascii="仿宋" w:hAnsi="仿宋" w:eastAsia="仿宋"/>
          <w:bCs/>
          <w:sz w:val="28"/>
          <w:szCs w:val="28"/>
        </w:rPr>
        <w:t>%</w:t>
      </w:r>
      <w:r>
        <w:rPr>
          <w:rFonts w:hint="eastAsia" w:ascii="仿宋" w:hAnsi="仿宋" w:eastAsia="仿宋"/>
          <w:bCs/>
          <w:sz w:val="28"/>
          <w:szCs w:val="28"/>
        </w:rPr>
        <w:t>，具体情况如下表：</w:t>
      </w:r>
    </w:p>
    <w:tbl>
      <w:tblPr>
        <w:tblStyle w:val="10"/>
        <w:tblpPr w:leftFromText="180" w:rightFromText="180" w:vertAnchor="text" w:horzAnchor="margin" w:tblpXSpec="center" w:tblpY="358"/>
        <w:tblW w:w="8613" w:type="dxa"/>
        <w:tblInd w:w="0" w:type="dxa"/>
        <w:tblLayout w:type="fixed"/>
        <w:tblCellMar>
          <w:top w:w="0" w:type="dxa"/>
          <w:left w:w="108" w:type="dxa"/>
          <w:bottom w:w="0" w:type="dxa"/>
          <w:right w:w="108" w:type="dxa"/>
        </w:tblCellMar>
      </w:tblPr>
      <w:tblGrid>
        <w:gridCol w:w="1080"/>
        <w:gridCol w:w="3046"/>
        <w:gridCol w:w="1843"/>
        <w:gridCol w:w="1426"/>
        <w:gridCol w:w="1218"/>
      </w:tblGrid>
      <w:tr>
        <w:tblPrEx>
          <w:tblLayout w:type="fixed"/>
          <w:tblCellMar>
            <w:top w:w="0" w:type="dxa"/>
            <w:left w:w="108" w:type="dxa"/>
            <w:bottom w:w="0" w:type="dxa"/>
            <w:right w:w="108" w:type="dxa"/>
          </w:tblCellMar>
        </w:tblPrEx>
        <w:trPr>
          <w:trHeight w:val="465" w:hRule="atLeast"/>
          <w:tblHeader/>
        </w:trPr>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rPr>
            </w:pPr>
            <w:r>
              <w:rPr>
                <w:rFonts w:hint="eastAsia" w:ascii="仿宋" w:hAnsi="仿宋" w:eastAsia="仿宋" w:cs="仿宋"/>
                <w:color w:val="000000"/>
                <w:kern w:val="0"/>
                <w:sz w:val="24"/>
              </w:rPr>
              <w:t>序号</w:t>
            </w:r>
          </w:p>
        </w:tc>
        <w:tc>
          <w:tcPr>
            <w:tcW w:w="304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rPr>
            </w:pPr>
            <w:r>
              <w:rPr>
                <w:rFonts w:hint="eastAsia" w:ascii="仿宋" w:hAnsi="仿宋" w:eastAsia="仿宋" w:cs="仿宋"/>
                <w:color w:val="000000"/>
                <w:kern w:val="0"/>
                <w:sz w:val="24"/>
              </w:rPr>
              <w:t>项目名称</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rPr>
            </w:pPr>
            <w:r>
              <w:rPr>
                <w:rFonts w:hint="eastAsia" w:ascii="仿宋" w:hAnsi="仿宋" w:eastAsia="仿宋" w:cs="仿宋"/>
                <w:color w:val="000000"/>
                <w:kern w:val="0"/>
                <w:sz w:val="24"/>
              </w:rPr>
              <w:t>预算数</w:t>
            </w:r>
          </w:p>
        </w:tc>
        <w:tc>
          <w:tcPr>
            <w:tcW w:w="142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rPr>
            </w:pPr>
            <w:r>
              <w:rPr>
                <w:rFonts w:hint="eastAsia" w:ascii="仿宋" w:hAnsi="仿宋" w:eastAsia="仿宋" w:cs="仿宋"/>
                <w:color w:val="000000"/>
                <w:kern w:val="0"/>
                <w:sz w:val="24"/>
              </w:rPr>
              <w:t>执行数</w:t>
            </w:r>
          </w:p>
        </w:tc>
        <w:tc>
          <w:tcPr>
            <w:tcW w:w="121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rPr>
            </w:pPr>
            <w:r>
              <w:rPr>
                <w:rFonts w:hint="eastAsia" w:ascii="仿宋" w:hAnsi="仿宋" w:eastAsia="仿宋" w:cs="仿宋"/>
                <w:color w:val="000000"/>
                <w:kern w:val="0"/>
                <w:sz w:val="24"/>
              </w:rPr>
              <w:t>执行率</w:t>
            </w:r>
          </w:p>
        </w:tc>
      </w:tr>
      <w:tr>
        <w:tblPrEx>
          <w:tblLayout w:type="fixed"/>
          <w:tblCellMar>
            <w:top w:w="0" w:type="dxa"/>
            <w:left w:w="108" w:type="dxa"/>
            <w:bottom w:w="0" w:type="dxa"/>
            <w:right w:w="108" w:type="dxa"/>
          </w:tblCellMar>
        </w:tblPrEx>
        <w:trPr>
          <w:trHeight w:val="71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rPr>
            </w:pPr>
            <w:r>
              <w:rPr>
                <w:rFonts w:hint="eastAsia" w:ascii="仿宋" w:hAnsi="仿宋" w:eastAsia="仿宋" w:cs="仿宋"/>
                <w:color w:val="000000"/>
                <w:kern w:val="0"/>
                <w:sz w:val="24"/>
              </w:rPr>
              <w:t>1</w:t>
            </w:r>
          </w:p>
        </w:tc>
        <w:tc>
          <w:tcPr>
            <w:tcW w:w="3046"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kern w:val="0"/>
                <w:sz w:val="24"/>
              </w:rPr>
            </w:pPr>
            <w:r>
              <w:rPr>
                <w:rFonts w:hint="eastAsia" w:ascii="仿宋" w:hAnsi="仿宋" w:eastAsia="仿宋" w:cs="仿宋"/>
                <w:color w:val="000000"/>
                <w:kern w:val="0"/>
                <w:sz w:val="24"/>
                <w:lang w:bidi="ar"/>
              </w:rPr>
              <w:t>武汉市主城区排水设施水力基础的模型建设</w:t>
            </w:r>
          </w:p>
        </w:tc>
        <w:tc>
          <w:tcPr>
            <w:tcW w:w="1843" w:type="dxa"/>
            <w:tcBorders>
              <w:top w:val="nil"/>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仿宋" w:hAnsi="仿宋" w:eastAsia="仿宋" w:cs="仿宋"/>
                <w:color w:val="000000"/>
                <w:kern w:val="0"/>
                <w:sz w:val="24"/>
              </w:rPr>
            </w:pPr>
            <w:r>
              <w:rPr>
                <w:rFonts w:hint="eastAsia" w:ascii="仿宋" w:hAnsi="仿宋" w:eastAsia="仿宋" w:cs="仿宋"/>
                <w:color w:val="000000"/>
                <w:kern w:val="0"/>
                <w:sz w:val="24"/>
                <w:lang w:bidi="ar"/>
              </w:rPr>
              <w:t>137.34</w:t>
            </w:r>
          </w:p>
        </w:tc>
        <w:tc>
          <w:tcPr>
            <w:tcW w:w="1426"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仿宋" w:hAnsi="仿宋" w:eastAsia="仿宋" w:cs="仿宋"/>
                <w:color w:val="000000"/>
                <w:kern w:val="0"/>
                <w:sz w:val="24"/>
              </w:rPr>
            </w:pPr>
            <w:r>
              <w:rPr>
                <w:rFonts w:hint="eastAsia" w:ascii="仿宋" w:hAnsi="仿宋" w:eastAsia="仿宋" w:cs="仿宋"/>
                <w:color w:val="000000"/>
                <w:kern w:val="0"/>
                <w:sz w:val="24"/>
                <w:lang w:bidi="ar"/>
              </w:rPr>
              <w:t>137.34</w:t>
            </w:r>
          </w:p>
        </w:tc>
        <w:tc>
          <w:tcPr>
            <w:tcW w:w="1218" w:type="dxa"/>
            <w:tcBorders>
              <w:top w:val="nil"/>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lang w:bidi="ar"/>
              </w:rPr>
              <w:t>100%</w:t>
            </w:r>
          </w:p>
        </w:tc>
      </w:tr>
      <w:tr>
        <w:tblPrEx>
          <w:tblLayout w:type="fixed"/>
          <w:tblCellMar>
            <w:top w:w="0" w:type="dxa"/>
            <w:left w:w="108" w:type="dxa"/>
            <w:bottom w:w="0" w:type="dxa"/>
            <w:right w:w="108" w:type="dxa"/>
          </w:tblCellMar>
        </w:tblPrEx>
        <w:trPr>
          <w:trHeight w:val="465"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rPr>
            </w:pPr>
            <w:r>
              <w:rPr>
                <w:rFonts w:hint="eastAsia" w:ascii="仿宋" w:hAnsi="仿宋" w:eastAsia="仿宋" w:cs="仿宋"/>
                <w:color w:val="000000"/>
                <w:kern w:val="0"/>
                <w:sz w:val="24"/>
              </w:rPr>
              <w:t>2</w:t>
            </w:r>
          </w:p>
        </w:tc>
        <w:tc>
          <w:tcPr>
            <w:tcW w:w="3046" w:type="dxa"/>
            <w:tcBorders>
              <w:top w:val="nil"/>
              <w:left w:val="nil"/>
              <w:bottom w:val="single" w:color="auto" w:sz="4" w:space="0"/>
              <w:right w:val="single" w:color="000000" w:sz="4" w:space="0"/>
            </w:tcBorders>
            <w:shd w:val="clear" w:color="auto" w:fill="auto"/>
            <w:vAlign w:val="center"/>
          </w:tcPr>
          <w:p>
            <w:pPr>
              <w:widowControl/>
              <w:jc w:val="left"/>
              <w:textAlignment w:val="center"/>
              <w:rPr>
                <w:rFonts w:ascii="仿宋" w:hAnsi="仿宋" w:eastAsia="仿宋" w:cs="仿宋"/>
                <w:color w:val="000000"/>
                <w:kern w:val="0"/>
                <w:sz w:val="24"/>
              </w:rPr>
            </w:pPr>
            <w:r>
              <w:rPr>
                <w:rFonts w:hint="eastAsia" w:ascii="仿宋" w:hAnsi="仿宋" w:eastAsia="仿宋" w:cs="仿宋"/>
                <w:color w:val="000000"/>
                <w:kern w:val="0"/>
                <w:sz w:val="24"/>
                <w:lang w:bidi="ar"/>
              </w:rPr>
              <w:t>武汉市2017年农田水利建设规划</w:t>
            </w:r>
          </w:p>
        </w:tc>
        <w:tc>
          <w:tcPr>
            <w:tcW w:w="1843" w:type="dxa"/>
            <w:tcBorders>
              <w:top w:val="nil"/>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仿宋" w:hAnsi="仿宋" w:eastAsia="仿宋" w:cs="仿宋"/>
                <w:color w:val="000000"/>
                <w:kern w:val="0"/>
                <w:sz w:val="24"/>
              </w:rPr>
            </w:pPr>
            <w:r>
              <w:rPr>
                <w:rFonts w:hint="eastAsia" w:ascii="仿宋" w:hAnsi="仿宋" w:eastAsia="仿宋" w:cs="仿宋"/>
                <w:color w:val="000000"/>
                <w:kern w:val="0"/>
                <w:sz w:val="24"/>
                <w:lang w:bidi="ar"/>
              </w:rPr>
              <w:t>302.00</w:t>
            </w:r>
          </w:p>
        </w:tc>
        <w:tc>
          <w:tcPr>
            <w:tcW w:w="1426" w:type="dxa"/>
            <w:tcBorders>
              <w:top w:val="nil"/>
              <w:left w:val="nil"/>
              <w:bottom w:val="single" w:color="auto" w:sz="4" w:space="0"/>
              <w:right w:val="single" w:color="000000" w:sz="4" w:space="0"/>
            </w:tcBorders>
            <w:shd w:val="clear" w:color="auto" w:fill="auto"/>
            <w:vAlign w:val="center"/>
          </w:tcPr>
          <w:p>
            <w:pPr>
              <w:widowControl/>
              <w:jc w:val="right"/>
              <w:textAlignment w:val="center"/>
              <w:rPr>
                <w:rFonts w:ascii="仿宋" w:hAnsi="仿宋" w:eastAsia="仿宋" w:cs="仿宋"/>
                <w:color w:val="000000"/>
                <w:kern w:val="0"/>
                <w:sz w:val="24"/>
              </w:rPr>
            </w:pPr>
            <w:r>
              <w:rPr>
                <w:rFonts w:hint="eastAsia" w:ascii="仿宋" w:hAnsi="仿宋" w:eastAsia="仿宋" w:cs="仿宋"/>
                <w:color w:val="000000"/>
                <w:kern w:val="0"/>
                <w:sz w:val="24"/>
                <w:lang w:bidi="ar"/>
              </w:rPr>
              <w:t>302.00</w:t>
            </w:r>
          </w:p>
        </w:tc>
        <w:tc>
          <w:tcPr>
            <w:tcW w:w="1218" w:type="dxa"/>
            <w:tcBorders>
              <w:top w:val="nil"/>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lang w:bidi="ar"/>
              </w:rPr>
              <w:t>100%</w:t>
            </w:r>
          </w:p>
        </w:tc>
      </w:tr>
      <w:tr>
        <w:tblPrEx>
          <w:tblLayout w:type="fixed"/>
          <w:tblCellMar>
            <w:top w:w="0" w:type="dxa"/>
            <w:left w:w="108" w:type="dxa"/>
            <w:bottom w:w="0" w:type="dxa"/>
            <w:right w:w="108" w:type="dxa"/>
          </w:tblCellMar>
        </w:tblPrEx>
        <w:trPr>
          <w:trHeight w:val="704" w:hRule="atLeast"/>
        </w:trPr>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rPr>
            </w:pPr>
            <w:r>
              <w:rPr>
                <w:rFonts w:hint="eastAsia" w:ascii="仿宋" w:hAnsi="仿宋" w:eastAsia="仿宋" w:cs="仿宋"/>
                <w:color w:val="000000"/>
                <w:kern w:val="0"/>
                <w:sz w:val="24"/>
              </w:rPr>
              <w:t>3</w:t>
            </w:r>
          </w:p>
        </w:tc>
        <w:tc>
          <w:tcPr>
            <w:tcW w:w="3046" w:type="dxa"/>
            <w:tcBorders>
              <w:top w:val="single" w:color="auto" w:sz="4" w:space="0"/>
              <w:left w:val="nil"/>
              <w:bottom w:val="single" w:color="auto" w:sz="4" w:space="0"/>
              <w:right w:val="single" w:color="000000" w:sz="4" w:space="0"/>
            </w:tcBorders>
            <w:shd w:val="clear" w:color="auto" w:fill="auto"/>
            <w:vAlign w:val="center"/>
          </w:tcPr>
          <w:p>
            <w:pPr>
              <w:widowControl/>
              <w:jc w:val="left"/>
              <w:textAlignment w:val="center"/>
              <w:rPr>
                <w:rFonts w:ascii="仿宋" w:hAnsi="仿宋" w:eastAsia="仿宋" w:cs="仿宋"/>
                <w:color w:val="000000"/>
                <w:kern w:val="0"/>
                <w:sz w:val="24"/>
              </w:rPr>
            </w:pPr>
            <w:r>
              <w:rPr>
                <w:rFonts w:hint="eastAsia" w:ascii="仿宋" w:hAnsi="仿宋" w:eastAsia="仿宋" w:cs="仿宋"/>
                <w:color w:val="000000"/>
                <w:kern w:val="0"/>
                <w:sz w:val="24"/>
                <w:lang w:bidi="ar"/>
              </w:rPr>
              <w:t>武汉市水土保持监测各开发建设项目水保方案编制</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仿宋" w:hAnsi="仿宋" w:eastAsia="仿宋" w:cs="仿宋"/>
                <w:color w:val="000000"/>
                <w:kern w:val="0"/>
                <w:sz w:val="24"/>
              </w:rPr>
            </w:pPr>
            <w:r>
              <w:rPr>
                <w:rFonts w:hint="eastAsia" w:ascii="仿宋" w:hAnsi="仿宋" w:eastAsia="仿宋" w:cs="仿宋"/>
                <w:color w:val="000000"/>
                <w:kern w:val="0"/>
                <w:sz w:val="24"/>
                <w:lang w:bidi="ar"/>
              </w:rPr>
              <w:t>3179.50</w:t>
            </w:r>
          </w:p>
        </w:tc>
        <w:tc>
          <w:tcPr>
            <w:tcW w:w="1426" w:type="dxa"/>
            <w:tcBorders>
              <w:top w:val="single" w:color="auto" w:sz="4" w:space="0"/>
              <w:left w:val="nil"/>
              <w:bottom w:val="single" w:color="auto" w:sz="4" w:space="0"/>
              <w:right w:val="single" w:color="000000" w:sz="4" w:space="0"/>
            </w:tcBorders>
            <w:shd w:val="clear" w:color="auto" w:fill="auto"/>
            <w:vAlign w:val="center"/>
          </w:tcPr>
          <w:p>
            <w:pPr>
              <w:widowControl/>
              <w:jc w:val="right"/>
              <w:textAlignment w:val="center"/>
              <w:rPr>
                <w:rFonts w:ascii="仿宋" w:hAnsi="仿宋" w:eastAsia="仿宋" w:cs="仿宋"/>
                <w:color w:val="000000"/>
                <w:kern w:val="0"/>
                <w:sz w:val="24"/>
              </w:rPr>
            </w:pPr>
            <w:r>
              <w:rPr>
                <w:rFonts w:hint="eastAsia" w:ascii="仿宋" w:hAnsi="仿宋" w:eastAsia="仿宋" w:cs="仿宋"/>
                <w:color w:val="000000"/>
                <w:kern w:val="0"/>
                <w:sz w:val="24"/>
                <w:lang w:bidi="ar"/>
              </w:rPr>
              <w:t>3179.5</w:t>
            </w:r>
          </w:p>
        </w:tc>
        <w:tc>
          <w:tcPr>
            <w:tcW w:w="12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lang w:bidi="ar"/>
              </w:rPr>
              <w:t>100%</w:t>
            </w:r>
          </w:p>
        </w:tc>
      </w:tr>
      <w:tr>
        <w:tblPrEx>
          <w:tblLayout w:type="fixed"/>
          <w:tblCellMar>
            <w:top w:w="0" w:type="dxa"/>
            <w:left w:w="108" w:type="dxa"/>
            <w:bottom w:w="0" w:type="dxa"/>
            <w:right w:w="108" w:type="dxa"/>
          </w:tblCellMar>
        </w:tblPrEx>
        <w:trPr>
          <w:trHeight w:val="540" w:hRule="atLeast"/>
        </w:trPr>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rPr>
            </w:pPr>
            <w:r>
              <w:rPr>
                <w:rFonts w:hint="eastAsia" w:ascii="仿宋" w:hAnsi="仿宋" w:eastAsia="仿宋" w:cs="仿宋"/>
                <w:color w:val="000000"/>
                <w:kern w:val="0"/>
                <w:sz w:val="24"/>
              </w:rPr>
              <w:t>4</w:t>
            </w:r>
          </w:p>
        </w:tc>
        <w:tc>
          <w:tcPr>
            <w:tcW w:w="304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rPr>
            </w:pPr>
            <w:r>
              <w:rPr>
                <w:rFonts w:hint="eastAsia" w:ascii="仿宋" w:hAnsi="仿宋" w:eastAsia="仿宋" w:cs="仿宋"/>
                <w:color w:val="000000"/>
                <w:kern w:val="0"/>
                <w:sz w:val="24"/>
              </w:rPr>
              <w:t>合计</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仿宋" w:hAnsi="仿宋" w:eastAsia="仿宋" w:cs="仿宋"/>
                <w:color w:val="000000"/>
                <w:kern w:val="0"/>
                <w:sz w:val="24"/>
              </w:rPr>
            </w:pPr>
            <w:r>
              <w:rPr>
                <w:rFonts w:hint="eastAsia" w:ascii="仿宋" w:hAnsi="仿宋" w:eastAsia="仿宋" w:cs="仿宋"/>
                <w:color w:val="000000"/>
                <w:kern w:val="0"/>
                <w:sz w:val="24"/>
              </w:rPr>
              <w:t>3618.84</w:t>
            </w:r>
          </w:p>
        </w:tc>
        <w:tc>
          <w:tcPr>
            <w:tcW w:w="1426"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仿宋" w:hAnsi="仿宋" w:eastAsia="仿宋" w:cs="仿宋"/>
                <w:color w:val="000000"/>
                <w:kern w:val="0"/>
                <w:sz w:val="24"/>
              </w:rPr>
            </w:pPr>
            <w:r>
              <w:rPr>
                <w:rFonts w:hint="eastAsia" w:ascii="仿宋" w:hAnsi="仿宋" w:eastAsia="仿宋" w:cs="仿宋"/>
                <w:color w:val="000000"/>
                <w:kern w:val="0"/>
                <w:sz w:val="24"/>
              </w:rPr>
              <w:t>3618.84</w:t>
            </w:r>
          </w:p>
        </w:tc>
        <w:tc>
          <w:tcPr>
            <w:tcW w:w="121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rPr>
            </w:pPr>
            <w:r>
              <w:rPr>
                <w:rFonts w:hint="eastAsia" w:ascii="仿宋" w:hAnsi="仿宋" w:eastAsia="仿宋" w:cs="仿宋"/>
                <w:color w:val="000000"/>
                <w:kern w:val="0"/>
                <w:sz w:val="24"/>
              </w:rPr>
              <w:t>100%</w:t>
            </w:r>
          </w:p>
        </w:tc>
      </w:tr>
    </w:tbl>
    <w:p>
      <w:pPr>
        <w:spacing w:line="360" w:lineRule="auto"/>
        <w:ind w:firstLine="560" w:firstLineChars="200"/>
        <w:outlineLvl w:val="2"/>
        <w:rPr>
          <w:rFonts w:ascii="仿宋" w:hAnsi="仿宋" w:eastAsia="仿宋"/>
          <w:bCs/>
          <w:sz w:val="28"/>
          <w:szCs w:val="28"/>
        </w:rPr>
      </w:pPr>
      <w:bookmarkStart w:id="28" w:name="_Toc517708019"/>
      <w:r>
        <w:rPr>
          <w:rFonts w:hint="eastAsia" w:ascii="仿宋" w:hAnsi="仿宋" w:eastAsia="仿宋"/>
          <w:bCs/>
          <w:sz w:val="28"/>
          <w:szCs w:val="28"/>
        </w:rPr>
        <w:t>2.项目过程</w:t>
      </w:r>
      <w:bookmarkEnd w:id="28"/>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项目资金使用按照计划执行，符合国家财经法规和财务管理制度以及有关专项资管理办法的规定。项目资金拨付与使用有完整的审批流程和手续，独立核算，账簿齐全，账务处理较为规范，并制定了相应的财务监控机制。项目管理所需人员、设备设施等条件落实到位。项目基本建设程序管理、项目质量管理、项目档案管理制度健全且得到执行, 项目单位基本建设管理程序落实到位。</w:t>
      </w:r>
      <w:r>
        <w:rPr>
          <w:rFonts w:hint="eastAsia" w:ascii="仿宋" w:hAnsi="仿宋" w:eastAsia="仿宋"/>
          <w:bCs/>
          <w:sz w:val="28"/>
          <w:szCs w:val="28"/>
          <w:lang w:val="en-US" w:eastAsia="zh-CN"/>
        </w:rPr>
        <w:t xml:space="preserve"> </w:t>
      </w:r>
      <w:r>
        <w:rPr>
          <w:rFonts w:hint="eastAsia" w:ascii="仿宋" w:hAnsi="仿宋" w:eastAsia="仿宋"/>
          <w:bCs/>
          <w:sz w:val="28"/>
          <w:szCs w:val="28"/>
        </w:rPr>
        <w:t>本项指标总分为27分，实际得28分，得分率96.43%,项目过程具体评价如下：</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（1）财务管理制度健全性</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为了规范和加强项目的财务管理，严格执行项目资金计划，控制项目基本建设投资规模，节约设计成本，提高投资的使用效益，根据</w:t>
      </w:r>
      <w:r>
        <w:rPr>
          <w:rFonts w:hint="eastAsia" w:ascii="仿宋" w:hAnsi="仿宋" w:eastAsia="仿宋"/>
          <w:sz w:val="28"/>
          <w:szCs w:val="28"/>
        </w:rPr>
        <w:t>《中华人民共和国会计法》、《行政单位会计准则》和《行政单位会计制度》等法律、法规，</w:t>
      </w:r>
      <w:r>
        <w:rPr>
          <w:rFonts w:hint="eastAsia" w:ascii="仿宋" w:hAnsi="仿宋" w:eastAsia="仿宋"/>
          <w:sz w:val="28"/>
          <w:szCs w:val="28"/>
          <w:lang w:val="en-US" w:eastAsia="zh-CN"/>
        </w:rPr>
        <w:t xml:space="preserve"> </w:t>
      </w:r>
      <w:r>
        <w:rPr>
          <w:rFonts w:hint="eastAsia" w:ascii="仿宋" w:hAnsi="仿宋" w:eastAsia="仿宋"/>
          <w:bCs/>
          <w:sz w:val="28"/>
          <w:szCs w:val="28"/>
        </w:rPr>
        <w:t>印发了制定和印发了《财务管理办法》、《财务报销管理规定》、《固定资产管理固定》、《三公经费管理制度》等系列管理制度，财务管理制度健全，建立严格的财务报销制度和严格印鉴管理机制。</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（2）资金使用合规性</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 xml:space="preserve">项目实际支出与项目计划投入资金的用途相符，符合《中华人民共和国会计法》、《中华人民共和国预算法》和《行政单位会计制度》的规定；资金的拨付有基本的审批程序和手续；符合项目预算批复或合同规定的用途；不存在超标列支相关费用；做到了专款专用，不存在截留、挤占、挪用、虚列支出。  </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（3）资金单独核算</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项目资金的会计核算严格执行了财政部颁发的《基本建设财务管理若干规定》，单独核算，按要求设置会计科目，建立账目。</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（4）财务信息质量</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预算执行和财务管理比较规范，会计资料真实，会计处理和决算报告编制符合预算法、相关会计准则和会计制度的规定。资金通过财政直接直付、授权支付或其它方式进行结算。资金拨付使用严格按照程序执行，用款申请单经用款部门和经办人提出申请，并注明用款理由和相关支出附件，经业务负责人、财务负责人、分管领导签字后通过财政直接支付或授权支付，以保证财政资金使用的安全。单位系统内部有比较完整的财务管理规定和制度，主管人员熟悉相关预算资金管理的法规；账簿及原始凭证齐全，账实相符，手续齐备，会计账务保存完整，能够比较全面反映部门资金使用的财务信息和实际状况。切实做到账簿完整、帐实相符、帐表相符、会计核算清楚规范。</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（5）项目组织实施</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项目分别由水保室、公益研究室、规划室负责实施，项目所需人员、设备设施等条件落实到位。项目建设单位按照要求，科学合理配置了项目管理人员，从技术力量上保证了项目的顺利开展。通过抽检项目档案发现，未发现档案资料不符合要求得现象。</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（6）基本建设程序管理</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2017年农田水利建设规划项目以农田水利为重点，并签订了设计合同，并按要求完成了设计任务。项目实施基本符合基本建设程序和国家法律法规的规定，建设资金的拨付基本符合有关管理制度的规定，基本实现项目预期目标。</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（7）项目质量管理</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武汉市水务科学研究院是ISO质量管理体系达标单位，管理制度完善。</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（8）项目档案管理</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单位有完善的项目档案管理制度，严格执行档案管理要求，注重对原始资料在实施过程的收集和整理，分门别类组卷，档案资料做到真实、齐全、有效。</w:t>
      </w:r>
    </w:p>
    <w:p>
      <w:pPr>
        <w:spacing w:line="360" w:lineRule="auto"/>
        <w:ind w:firstLine="560" w:firstLineChars="200"/>
        <w:outlineLvl w:val="2"/>
        <w:rPr>
          <w:rFonts w:ascii="仿宋" w:hAnsi="仿宋" w:eastAsia="仿宋"/>
          <w:bCs/>
          <w:sz w:val="28"/>
          <w:szCs w:val="28"/>
        </w:rPr>
      </w:pPr>
      <w:bookmarkStart w:id="29" w:name="_Toc517708020"/>
      <w:r>
        <w:rPr>
          <w:rFonts w:hint="eastAsia" w:ascii="仿宋" w:hAnsi="仿宋" w:eastAsia="仿宋"/>
          <w:bCs/>
          <w:sz w:val="28"/>
          <w:szCs w:val="28"/>
        </w:rPr>
        <w:t>3.项目产出</w:t>
      </w:r>
      <w:bookmarkEnd w:id="29"/>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项目产出良好，项目在预定时间内及时实施完成，质量达标率达到预期。本项指标总分为30分，实际得分达到26.28分，得分率87.6%,项目产出具体评价如下：</w:t>
      </w:r>
    </w:p>
    <w:p>
      <w:pPr>
        <w:numPr>
          <w:ilvl w:val="0"/>
          <w:numId w:val="1"/>
        </w:numPr>
        <w:spacing w:line="360" w:lineRule="auto"/>
        <w:ind w:firstLine="560" w:firstLineChars="200"/>
        <w:rPr>
          <w:rFonts w:ascii="仿宋" w:hAnsi="仿宋" w:eastAsia="仿宋"/>
          <w:bCs/>
          <w:sz w:val="28"/>
          <w:szCs w:val="28"/>
        </w:rPr>
      </w:pPr>
      <w:r>
        <w:rPr>
          <w:rFonts w:hint="eastAsia" w:ascii="仿宋" w:hAnsi="仿宋" w:eastAsia="仿宋"/>
          <w:bCs/>
          <w:sz w:val="28"/>
          <w:szCs w:val="28"/>
        </w:rPr>
        <w:t>工程完成率</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武湖泵站新建工程是省灾后补短板重点项目，建设内容包括黄陂区武湖二泵站和新洲区武湖三泵站，两个泵站同时设计。2016年12月，武汉市水务科学研究院连同上海市政工程设计研究总院（集团）有限公司出具了初步设计和概算报告。并按照省、市时间要求完成施工图设计，达到2017年水科院100%的绩效管理目标。</w:t>
      </w:r>
    </w:p>
    <w:p>
      <w:pPr>
        <w:numPr>
          <w:ilvl w:val="0"/>
          <w:numId w:val="1"/>
        </w:numPr>
        <w:spacing w:line="360" w:lineRule="auto"/>
        <w:ind w:firstLine="560" w:firstLineChars="200"/>
        <w:rPr>
          <w:rFonts w:ascii="仿宋" w:hAnsi="仿宋" w:eastAsia="仿宋"/>
          <w:bCs/>
          <w:sz w:val="28"/>
          <w:szCs w:val="28"/>
        </w:rPr>
      </w:pPr>
      <w:r>
        <w:rPr>
          <w:rFonts w:hint="eastAsia" w:ascii="仿宋" w:hAnsi="仿宋" w:eastAsia="仿宋"/>
          <w:bCs/>
          <w:sz w:val="28"/>
          <w:szCs w:val="28"/>
        </w:rPr>
        <w:t>水土保持方案编报审批率</w:t>
      </w:r>
    </w:p>
    <w:p>
      <w:pPr>
        <w:spacing w:line="360" w:lineRule="auto"/>
        <w:ind w:left="420" w:leftChars="200"/>
        <w:rPr>
          <w:rFonts w:ascii="仿宋" w:hAnsi="仿宋" w:eastAsia="仿宋"/>
          <w:bCs/>
          <w:sz w:val="28"/>
          <w:szCs w:val="28"/>
        </w:rPr>
      </w:pPr>
      <w:r>
        <w:rPr>
          <w:rFonts w:hint="eastAsia" w:ascii="仿宋" w:hAnsi="仿宋" w:eastAsia="仿宋"/>
          <w:bCs/>
          <w:sz w:val="28"/>
          <w:szCs w:val="28"/>
        </w:rPr>
        <w:t xml:space="preserve"> 2017年生产建设项目水土保持方案编制总体目标是完成250个</w:t>
      </w:r>
    </w:p>
    <w:p>
      <w:pPr>
        <w:spacing w:line="360" w:lineRule="auto"/>
        <w:rPr>
          <w:rFonts w:ascii="仿宋" w:hAnsi="仿宋" w:eastAsia="仿宋"/>
          <w:bCs/>
          <w:sz w:val="28"/>
          <w:szCs w:val="28"/>
        </w:rPr>
      </w:pPr>
      <w:r>
        <w:rPr>
          <w:rFonts w:hint="eastAsia" w:ascii="仿宋" w:hAnsi="仿宋" w:eastAsia="仿宋"/>
          <w:bCs/>
          <w:sz w:val="28"/>
          <w:szCs w:val="28"/>
        </w:rPr>
        <w:t>项目，由水保室实施，全年共完成并审批通过64个，审批率为25.6%。</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（3）完成及时率</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武汉市主城区（武昌、汉阳地区）排水设施水力基础模型项目、2017年农田水利建设规划项目、武汉市水土保持监测各开发建设项目水保方案编制项目均在计划时间内及时完成。</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在2017年3月完成2016年度武汉市水土保持公报，公报明确了水土流失状况、水土流失综合治理、水土保持监督管理、水土保持监测、重要水土保持事件等相关内容。</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（3）质量达标率</w:t>
      </w:r>
    </w:p>
    <w:p>
      <w:pPr>
        <w:spacing w:line="360" w:lineRule="auto"/>
        <w:ind w:firstLine="560" w:firstLineChars="200"/>
        <w:outlineLvl w:val="2"/>
        <w:rPr>
          <w:rFonts w:ascii="仿宋" w:hAnsi="仿宋" w:eastAsia="仿宋"/>
          <w:bCs/>
          <w:sz w:val="28"/>
          <w:szCs w:val="28"/>
        </w:rPr>
      </w:pPr>
      <w:bookmarkStart w:id="30" w:name="_Toc517708021"/>
      <w:r>
        <w:rPr>
          <w:rFonts w:hint="eastAsia" w:ascii="仿宋" w:hAnsi="仿宋" w:eastAsia="仿宋"/>
          <w:bCs/>
          <w:sz w:val="28"/>
          <w:szCs w:val="28"/>
        </w:rPr>
        <w:t>武汉市主城区（武昌、汉阳地区）排水设施水力基础模型项目、2017年农田水利建设规划项目、武汉市水土保持监测各开发建设项目水保方案编制项目均满足质量要求，并通过专家评审。以东湖绿道二期工程水土保持方案为例，该项目符合《水土保持法》、《开发建设项目水土保持技术规范》（GB50433-2008）和《关于严格开发建设项目水土保持方案审查审批工作的投资》（水利部水保【2007】184号），建成后可以最大限度的建设因工程施工造成的水土流失。</w:t>
      </w:r>
    </w:p>
    <w:p>
      <w:pPr>
        <w:spacing w:line="360" w:lineRule="auto"/>
        <w:ind w:left="420" w:leftChars="200"/>
        <w:outlineLvl w:val="2"/>
        <w:rPr>
          <w:rFonts w:ascii="仿宋" w:hAnsi="仿宋" w:eastAsia="仿宋"/>
          <w:bCs/>
          <w:sz w:val="28"/>
          <w:szCs w:val="28"/>
        </w:rPr>
      </w:pPr>
      <w:r>
        <w:rPr>
          <w:rFonts w:hint="eastAsia" w:ascii="仿宋" w:hAnsi="仿宋" w:eastAsia="仿宋"/>
          <w:bCs/>
          <w:sz w:val="28"/>
          <w:szCs w:val="28"/>
        </w:rPr>
        <w:t>（4）成本节约率</w:t>
      </w:r>
    </w:p>
    <w:p>
      <w:pPr>
        <w:spacing w:line="360" w:lineRule="auto"/>
        <w:ind w:left="420" w:leftChars="200"/>
        <w:outlineLvl w:val="2"/>
        <w:rPr>
          <w:rFonts w:ascii="仿宋" w:hAnsi="仿宋" w:eastAsia="仿宋"/>
          <w:bCs/>
          <w:sz w:val="28"/>
          <w:szCs w:val="28"/>
        </w:rPr>
      </w:pPr>
      <w:r>
        <w:rPr>
          <w:rFonts w:hint="eastAsia" w:ascii="仿宋" w:hAnsi="仿宋" w:eastAsia="仿宋"/>
          <w:bCs/>
          <w:sz w:val="28"/>
          <w:szCs w:val="28"/>
        </w:rPr>
        <w:t xml:space="preserve"> 武汉市主城区（武昌、汉阳地区）排水设施水力基础模型项目</w:t>
      </w:r>
    </w:p>
    <w:p>
      <w:pPr>
        <w:spacing w:line="360" w:lineRule="auto"/>
        <w:outlineLvl w:val="2"/>
        <w:rPr>
          <w:rFonts w:ascii="仿宋" w:hAnsi="仿宋" w:eastAsia="仿宋"/>
          <w:bCs/>
          <w:sz w:val="28"/>
          <w:szCs w:val="28"/>
        </w:rPr>
      </w:pPr>
      <w:r>
        <w:rPr>
          <w:rFonts w:hint="eastAsia" w:ascii="仿宋" w:hAnsi="仿宋" w:eastAsia="仿宋"/>
          <w:bCs/>
          <w:sz w:val="28"/>
          <w:szCs w:val="28"/>
        </w:rPr>
        <w:t>审定的建模建设费为1131.60万元，总面积约570km</w:t>
      </w:r>
      <w:r>
        <w:rPr>
          <w:rFonts w:hint="eastAsia" w:ascii="仿宋" w:hAnsi="仿宋" w:eastAsia="仿宋"/>
          <w:bCs/>
          <w:sz w:val="36"/>
          <w:szCs w:val="36"/>
          <w:vertAlign w:val="superscript"/>
        </w:rPr>
        <w:t>2</w:t>
      </w:r>
      <w:r>
        <w:rPr>
          <w:rFonts w:hint="eastAsia" w:ascii="仿宋" w:hAnsi="仿宋" w:eastAsia="仿宋"/>
          <w:bCs/>
          <w:sz w:val="28"/>
          <w:szCs w:val="28"/>
        </w:rPr>
        <w:t xml:space="preserve"> ，建模单位平方公里面积1.9万元，小于标准7.0万元/平方公里。</w:t>
      </w:r>
    </w:p>
    <w:p>
      <w:pPr>
        <w:spacing w:line="360" w:lineRule="auto"/>
        <w:ind w:firstLine="560" w:firstLineChars="200"/>
        <w:outlineLvl w:val="2"/>
        <w:rPr>
          <w:rFonts w:ascii="仿宋" w:hAnsi="仿宋" w:eastAsia="仿宋"/>
          <w:bCs/>
          <w:sz w:val="28"/>
          <w:szCs w:val="28"/>
        </w:rPr>
      </w:pPr>
      <w:r>
        <w:rPr>
          <w:rFonts w:hint="eastAsia" w:ascii="仿宋" w:hAnsi="仿宋" w:eastAsia="仿宋"/>
          <w:bCs/>
          <w:sz w:val="28"/>
          <w:szCs w:val="28"/>
        </w:rPr>
        <w:t>4.项目效果</w:t>
      </w:r>
      <w:bookmarkEnd w:id="30"/>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项目的实施后会排涝减灾能力，改善水质，达到设计要求后会提高居民生活环境。本项指标总分为30分，实际得分达29分，得分率96.67%,项目效果具体评价如下：</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（1）排涝减灾效益</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长江中下游湖北涝灾严重、排涝能力低，通过对渠道综合整治工程项目水土保持方案的编制，工程按照方案实施，可大大改善湖泊地区的排涝能力，特别是汛期，汉江水位高于湖泊水位，涝水须通过东湖泵站排向长江，水网系统的建成，彻底改变了湖泊连而不畅的被动局面，其作用十分明显。</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（2）水土保持效益</w:t>
      </w:r>
    </w:p>
    <w:p>
      <w:pPr>
        <w:spacing w:line="360" w:lineRule="auto"/>
        <w:ind w:left="420" w:leftChars="200"/>
        <w:rPr>
          <w:rFonts w:ascii="仿宋" w:hAnsi="仿宋" w:eastAsia="仿宋"/>
          <w:bCs/>
          <w:sz w:val="28"/>
          <w:szCs w:val="28"/>
        </w:rPr>
      </w:pPr>
      <w:r>
        <w:rPr>
          <w:rFonts w:hint="eastAsia" w:ascii="仿宋" w:hAnsi="仿宋" w:eastAsia="仿宋"/>
          <w:bCs/>
          <w:sz w:val="28"/>
          <w:szCs w:val="28"/>
        </w:rPr>
        <w:t xml:space="preserve"> 水土保持方案均达到水土流失防治标准，以龙口渠连通工程和</w:t>
      </w:r>
    </w:p>
    <w:p>
      <w:pPr>
        <w:spacing w:line="360" w:lineRule="auto"/>
        <w:rPr>
          <w:rFonts w:ascii="仿宋" w:hAnsi="仿宋" w:eastAsia="仿宋"/>
          <w:bCs/>
          <w:sz w:val="28"/>
          <w:szCs w:val="28"/>
        </w:rPr>
      </w:pPr>
      <w:r>
        <w:rPr>
          <w:rFonts w:hint="eastAsia" w:ascii="仿宋" w:hAnsi="仿宋" w:eastAsia="仿宋"/>
          <w:bCs/>
          <w:sz w:val="28"/>
          <w:szCs w:val="28"/>
        </w:rPr>
        <w:t>龙新渠综合治理工程项目水土保持方案为例，该项目水土流失防治标准按照建设类项目一级标准执行，其目标值未“扰动土地治理率97%，水土流失总治理度97%，土壤流失控制比1.1，拦渣率98%，林草植被恢复率99%，林草覆盖率27%”标准。</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（3）城市污水控制方案</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污水溢流分析除了文本里面的应用，在2017年利用模型协助完成了天鹅湖溢流分析及方案拟定、黄孝河溢流分析及方案拟定、巡司河及南湖连通渠溢流分析及方案拟定等，共计5个方案，达到目标值要求。</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（3）可持续影响</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2017年农田水利建设规划项目、武汉市水土保持监测各开发建设项目水保方案编制项目完工后区域外排能力满足了城市发展的需要，保证了区域的排水安全，为经济发展提供设施基础。</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模型的持续性应用成果对武汉市排水防涝、风险警示、排水改造、水系调度等方面具有指导作用，推动了武汉市水务管理信息化、智慧化的建设，降低了城市内涝带来的损失。</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（4）城镇居民满意度</w:t>
      </w:r>
    </w:p>
    <w:p>
      <w:pPr>
        <w:spacing w:before="156" w:beforeLines="50" w:after="156" w:afterLines="50" w:line="360" w:lineRule="auto"/>
        <w:ind w:firstLine="560" w:firstLineChars="200"/>
        <w:outlineLvl w:val="1"/>
        <w:rPr>
          <w:rFonts w:ascii="仿宋" w:hAnsi="仿宋" w:eastAsia="仿宋"/>
          <w:bCs/>
          <w:sz w:val="28"/>
          <w:szCs w:val="28"/>
        </w:rPr>
      </w:pPr>
      <w:bookmarkStart w:id="31" w:name="_Toc517708022"/>
      <w:r>
        <w:rPr>
          <w:rFonts w:hint="eastAsia" w:ascii="仿宋" w:hAnsi="仿宋" w:eastAsia="仿宋"/>
          <w:bCs/>
          <w:sz w:val="28"/>
          <w:szCs w:val="28"/>
        </w:rPr>
        <w:t>武汉市水务科学研究院2017年向武汉市水务局报送信息36篇，微信公众号推送3篇，接受媒体采访若干次，暂未发生负面报道。</w:t>
      </w:r>
    </w:p>
    <w:p>
      <w:pPr>
        <w:spacing w:before="156" w:beforeLines="50" w:after="156" w:afterLines="50" w:line="360" w:lineRule="auto"/>
        <w:ind w:firstLine="560" w:firstLineChars="200"/>
        <w:outlineLvl w:val="1"/>
        <w:rPr>
          <w:rFonts w:ascii="仿宋" w:hAnsi="仿宋" w:eastAsia="仿宋"/>
          <w:sz w:val="28"/>
          <w:szCs w:val="28"/>
        </w:rPr>
      </w:pPr>
      <w:r>
        <w:rPr>
          <w:rFonts w:hint="eastAsia" w:ascii="仿宋" w:hAnsi="仿宋" w:eastAsia="仿宋"/>
          <w:sz w:val="28"/>
          <w:szCs w:val="28"/>
        </w:rPr>
        <w:t>（四）评价结论</w:t>
      </w:r>
      <w:bookmarkEnd w:id="31"/>
    </w:p>
    <w:p>
      <w:pPr>
        <w:spacing w:before="156" w:beforeLines="50" w:after="156" w:afterLines="50" w:line="360" w:lineRule="auto"/>
        <w:ind w:firstLine="560" w:firstLineChars="200"/>
        <w:outlineLvl w:val="2"/>
        <w:rPr>
          <w:rFonts w:ascii="仿宋" w:hAnsi="仿宋" w:eastAsia="仿宋"/>
          <w:sz w:val="28"/>
          <w:szCs w:val="28"/>
        </w:rPr>
      </w:pPr>
      <w:bookmarkStart w:id="32" w:name="_Toc517708023"/>
      <w:r>
        <w:rPr>
          <w:rFonts w:hint="eastAsia" w:ascii="仿宋" w:hAnsi="仿宋" w:eastAsia="仿宋"/>
          <w:sz w:val="28"/>
          <w:szCs w:val="28"/>
        </w:rPr>
        <w:t>1.综合评分结果</w:t>
      </w:r>
      <w:bookmarkEnd w:id="32"/>
    </w:p>
    <w:tbl>
      <w:tblPr>
        <w:tblStyle w:val="10"/>
        <w:tblW w:w="822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92"/>
        <w:gridCol w:w="1276"/>
        <w:gridCol w:w="1417"/>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exact"/>
          <w:tblHeader/>
        </w:trPr>
        <w:tc>
          <w:tcPr>
            <w:tcW w:w="1418" w:type="dxa"/>
            <w:vAlign w:val="center"/>
          </w:tcPr>
          <w:p>
            <w:pPr>
              <w:widowControl/>
              <w:jc w:val="center"/>
              <w:rPr>
                <w:rFonts w:ascii="仿宋" w:hAnsi="仿宋" w:eastAsia="仿宋" w:cs="仿宋"/>
                <w:b/>
                <w:kern w:val="0"/>
                <w:szCs w:val="21"/>
              </w:rPr>
            </w:pPr>
            <w:r>
              <w:rPr>
                <w:rFonts w:hint="eastAsia" w:ascii="仿宋" w:hAnsi="仿宋" w:eastAsia="仿宋" w:cs="仿宋"/>
                <w:b/>
                <w:kern w:val="0"/>
                <w:szCs w:val="21"/>
              </w:rPr>
              <w:t>评价指标</w:t>
            </w:r>
          </w:p>
        </w:tc>
        <w:tc>
          <w:tcPr>
            <w:tcW w:w="992" w:type="dxa"/>
            <w:vAlign w:val="center"/>
          </w:tcPr>
          <w:p>
            <w:pPr>
              <w:widowControl/>
              <w:jc w:val="center"/>
              <w:rPr>
                <w:rFonts w:ascii="仿宋" w:hAnsi="仿宋" w:eastAsia="仿宋" w:cs="仿宋"/>
                <w:b/>
                <w:kern w:val="0"/>
                <w:szCs w:val="21"/>
              </w:rPr>
            </w:pPr>
            <w:r>
              <w:rPr>
                <w:rFonts w:hint="eastAsia" w:ascii="仿宋" w:hAnsi="仿宋" w:eastAsia="仿宋" w:cs="仿宋"/>
                <w:b/>
                <w:kern w:val="0"/>
                <w:szCs w:val="21"/>
              </w:rPr>
              <w:t>权重</w:t>
            </w:r>
          </w:p>
        </w:tc>
        <w:tc>
          <w:tcPr>
            <w:tcW w:w="1276" w:type="dxa"/>
            <w:vAlign w:val="center"/>
          </w:tcPr>
          <w:p>
            <w:pPr>
              <w:widowControl/>
              <w:jc w:val="center"/>
              <w:rPr>
                <w:rFonts w:ascii="仿宋" w:hAnsi="仿宋" w:eastAsia="仿宋" w:cs="仿宋"/>
                <w:b/>
                <w:kern w:val="0"/>
                <w:szCs w:val="21"/>
              </w:rPr>
            </w:pPr>
            <w:r>
              <w:rPr>
                <w:rFonts w:hint="eastAsia" w:ascii="仿宋" w:hAnsi="仿宋" w:eastAsia="仿宋" w:cs="仿宋"/>
                <w:b/>
                <w:kern w:val="0"/>
                <w:szCs w:val="21"/>
              </w:rPr>
              <w:t>评级分值</w:t>
            </w:r>
          </w:p>
        </w:tc>
        <w:tc>
          <w:tcPr>
            <w:tcW w:w="1417" w:type="dxa"/>
            <w:vAlign w:val="center"/>
          </w:tcPr>
          <w:p>
            <w:pPr>
              <w:widowControl/>
              <w:jc w:val="center"/>
              <w:rPr>
                <w:rFonts w:ascii="仿宋" w:hAnsi="仿宋" w:eastAsia="仿宋" w:cs="仿宋"/>
                <w:b/>
                <w:kern w:val="0"/>
                <w:szCs w:val="21"/>
              </w:rPr>
            </w:pPr>
            <w:r>
              <w:rPr>
                <w:rFonts w:hint="eastAsia" w:ascii="仿宋" w:hAnsi="仿宋" w:eastAsia="仿宋" w:cs="仿宋"/>
                <w:b/>
                <w:kern w:val="0"/>
                <w:szCs w:val="21"/>
              </w:rPr>
              <w:t>项目得分</w:t>
            </w:r>
          </w:p>
        </w:tc>
        <w:tc>
          <w:tcPr>
            <w:tcW w:w="1701" w:type="dxa"/>
            <w:vAlign w:val="center"/>
          </w:tcPr>
          <w:p>
            <w:pPr>
              <w:widowControl/>
              <w:jc w:val="center"/>
              <w:rPr>
                <w:rFonts w:ascii="仿宋" w:hAnsi="仿宋" w:eastAsia="仿宋" w:cs="仿宋"/>
                <w:b/>
                <w:kern w:val="0"/>
                <w:szCs w:val="21"/>
              </w:rPr>
            </w:pPr>
            <w:r>
              <w:rPr>
                <w:rFonts w:hint="eastAsia" w:ascii="仿宋" w:hAnsi="仿宋" w:eastAsia="仿宋" w:cs="仿宋"/>
                <w:b/>
                <w:kern w:val="0"/>
                <w:szCs w:val="21"/>
              </w:rPr>
              <w:t>得分率</w:t>
            </w:r>
          </w:p>
        </w:tc>
        <w:tc>
          <w:tcPr>
            <w:tcW w:w="1418" w:type="dxa"/>
            <w:vAlign w:val="center"/>
          </w:tcPr>
          <w:p>
            <w:pPr>
              <w:jc w:val="center"/>
              <w:rPr>
                <w:rFonts w:ascii="仿宋" w:hAnsi="仿宋" w:eastAsia="仿宋" w:cs="仿宋"/>
                <w:b/>
                <w:kern w:val="0"/>
                <w:szCs w:val="21"/>
              </w:rPr>
            </w:pPr>
            <w:r>
              <w:rPr>
                <w:rFonts w:hint="eastAsia" w:ascii="仿宋" w:hAnsi="仿宋" w:eastAsia="仿宋" w:cs="仿宋"/>
                <w:b/>
                <w:kern w:val="0"/>
                <w:szCs w:val="21"/>
              </w:rPr>
              <w:t>评价级别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exact"/>
        </w:trPr>
        <w:tc>
          <w:tcPr>
            <w:tcW w:w="1418"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项目投入</w:t>
            </w:r>
          </w:p>
        </w:tc>
        <w:tc>
          <w:tcPr>
            <w:tcW w:w="992"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12%</w:t>
            </w:r>
          </w:p>
        </w:tc>
        <w:tc>
          <w:tcPr>
            <w:tcW w:w="1276"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12</w:t>
            </w:r>
          </w:p>
        </w:tc>
        <w:tc>
          <w:tcPr>
            <w:tcW w:w="1417"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10</w:t>
            </w:r>
          </w:p>
        </w:tc>
        <w:tc>
          <w:tcPr>
            <w:tcW w:w="1701"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83.33%</w:t>
            </w:r>
          </w:p>
        </w:tc>
        <w:tc>
          <w:tcPr>
            <w:tcW w:w="1418" w:type="dxa"/>
            <w:vAlign w:val="center"/>
          </w:tcPr>
          <w:p>
            <w:pPr>
              <w:jc w:val="center"/>
              <w:rPr>
                <w:rFonts w:ascii="仿宋" w:hAnsi="仿宋" w:eastAsia="仿宋" w:cs="仿宋"/>
                <w:kern w:val="0"/>
                <w:szCs w:val="21"/>
              </w:rPr>
            </w:pPr>
            <w:r>
              <w:rPr>
                <w:rFonts w:hint="eastAsia" w:ascii="仿宋" w:hAnsi="仿宋" w:eastAsia="仿宋" w:cs="仿宋"/>
                <w:kern w:val="0"/>
                <w:szCs w:val="21"/>
              </w:rPr>
              <w:t>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exact"/>
        </w:trPr>
        <w:tc>
          <w:tcPr>
            <w:tcW w:w="1418"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项目过程</w:t>
            </w:r>
          </w:p>
        </w:tc>
        <w:tc>
          <w:tcPr>
            <w:tcW w:w="992"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28%</w:t>
            </w:r>
          </w:p>
        </w:tc>
        <w:tc>
          <w:tcPr>
            <w:tcW w:w="1276"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28</w:t>
            </w:r>
          </w:p>
        </w:tc>
        <w:tc>
          <w:tcPr>
            <w:tcW w:w="1417"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27</w:t>
            </w:r>
          </w:p>
        </w:tc>
        <w:tc>
          <w:tcPr>
            <w:tcW w:w="1701"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96.43%</w:t>
            </w:r>
          </w:p>
        </w:tc>
        <w:tc>
          <w:tcPr>
            <w:tcW w:w="1418" w:type="dxa"/>
            <w:vAlign w:val="center"/>
          </w:tcPr>
          <w:p>
            <w:pPr>
              <w:jc w:val="center"/>
              <w:rPr>
                <w:rFonts w:ascii="仿宋" w:hAnsi="仿宋" w:eastAsia="仿宋" w:cs="仿宋"/>
                <w:kern w:val="0"/>
                <w:szCs w:val="21"/>
              </w:rPr>
            </w:pPr>
            <w:r>
              <w:rPr>
                <w:rFonts w:hint="eastAsia" w:ascii="仿宋" w:hAnsi="仿宋" w:eastAsia="仿宋" w:cs="仿宋"/>
                <w:kern w:val="0"/>
                <w:szCs w:val="21"/>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exact"/>
        </w:trPr>
        <w:tc>
          <w:tcPr>
            <w:tcW w:w="1418"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项目产出</w:t>
            </w:r>
          </w:p>
        </w:tc>
        <w:tc>
          <w:tcPr>
            <w:tcW w:w="992"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30%</w:t>
            </w:r>
          </w:p>
        </w:tc>
        <w:tc>
          <w:tcPr>
            <w:tcW w:w="1276"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30</w:t>
            </w:r>
          </w:p>
        </w:tc>
        <w:tc>
          <w:tcPr>
            <w:tcW w:w="1417"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26.28</w:t>
            </w:r>
          </w:p>
        </w:tc>
        <w:tc>
          <w:tcPr>
            <w:tcW w:w="1701"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87.6%</w:t>
            </w:r>
          </w:p>
        </w:tc>
        <w:tc>
          <w:tcPr>
            <w:tcW w:w="1418" w:type="dxa"/>
            <w:vAlign w:val="center"/>
          </w:tcPr>
          <w:p>
            <w:pPr>
              <w:jc w:val="center"/>
              <w:rPr>
                <w:rFonts w:ascii="仿宋" w:hAnsi="仿宋" w:eastAsia="仿宋" w:cs="仿宋"/>
                <w:kern w:val="0"/>
                <w:szCs w:val="21"/>
              </w:rPr>
            </w:pPr>
            <w:r>
              <w:rPr>
                <w:rFonts w:hint="eastAsia" w:ascii="仿宋" w:hAnsi="仿宋" w:eastAsia="仿宋" w:cs="仿宋"/>
                <w:kern w:val="0"/>
                <w:szCs w:val="21"/>
              </w:rPr>
              <w:t>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exact"/>
        </w:trPr>
        <w:tc>
          <w:tcPr>
            <w:tcW w:w="1418"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项目效果</w:t>
            </w:r>
          </w:p>
        </w:tc>
        <w:tc>
          <w:tcPr>
            <w:tcW w:w="992"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30%</w:t>
            </w:r>
          </w:p>
        </w:tc>
        <w:tc>
          <w:tcPr>
            <w:tcW w:w="1276"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30</w:t>
            </w:r>
          </w:p>
        </w:tc>
        <w:tc>
          <w:tcPr>
            <w:tcW w:w="1417"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29</w:t>
            </w:r>
          </w:p>
        </w:tc>
        <w:tc>
          <w:tcPr>
            <w:tcW w:w="1701"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96.67%</w:t>
            </w:r>
          </w:p>
        </w:tc>
        <w:tc>
          <w:tcPr>
            <w:tcW w:w="1418" w:type="dxa"/>
            <w:vAlign w:val="center"/>
          </w:tcPr>
          <w:p>
            <w:pPr>
              <w:jc w:val="center"/>
              <w:rPr>
                <w:rFonts w:ascii="仿宋" w:hAnsi="仿宋" w:eastAsia="仿宋" w:cs="仿宋"/>
                <w:kern w:val="0"/>
                <w:szCs w:val="21"/>
              </w:rPr>
            </w:pPr>
            <w:r>
              <w:rPr>
                <w:rFonts w:hint="eastAsia" w:ascii="仿宋" w:hAnsi="仿宋" w:eastAsia="仿宋" w:cs="仿宋"/>
                <w:kern w:val="0"/>
                <w:szCs w:val="21"/>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418"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综合绩效</w:t>
            </w:r>
          </w:p>
        </w:tc>
        <w:tc>
          <w:tcPr>
            <w:tcW w:w="992"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100%</w:t>
            </w:r>
          </w:p>
        </w:tc>
        <w:tc>
          <w:tcPr>
            <w:tcW w:w="1276"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100</w:t>
            </w:r>
          </w:p>
        </w:tc>
        <w:tc>
          <w:tcPr>
            <w:tcW w:w="1417"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92.28</w:t>
            </w:r>
          </w:p>
        </w:tc>
        <w:tc>
          <w:tcPr>
            <w:tcW w:w="1701"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92.28%</w:t>
            </w:r>
          </w:p>
        </w:tc>
        <w:tc>
          <w:tcPr>
            <w:tcW w:w="1418" w:type="dxa"/>
            <w:vAlign w:val="center"/>
          </w:tcPr>
          <w:p>
            <w:pPr>
              <w:jc w:val="center"/>
              <w:rPr>
                <w:rFonts w:ascii="仿宋" w:hAnsi="仿宋" w:eastAsia="仿宋" w:cs="仿宋"/>
                <w:kern w:val="0"/>
                <w:szCs w:val="21"/>
              </w:rPr>
            </w:pPr>
            <w:r>
              <w:rPr>
                <w:rFonts w:hint="eastAsia" w:ascii="仿宋" w:hAnsi="仿宋" w:eastAsia="仿宋" w:cs="仿宋"/>
                <w:kern w:val="0"/>
                <w:szCs w:val="21"/>
              </w:rPr>
              <w:t>优</w:t>
            </w:r>
          </w:p>
        </w:tc>
      </w:tr>
    </w:tbl>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从投入来看，项目立项依据充分，立项申请符合规定，可研报告内容完整，编制科学、实事求是，项目资金按计划投入到位，资金拨付及时</w:t>
      </w:r>
      <w:r>
        <w:rPr>
          <w:rFonts w:hint="eastAsia" w:ascii="仿宋" w:hAnsi="仿宋" w:eastAsia="仿宋"/>
          <w:sz w:val="28"/>
          <w:szCs w:val="28"/>
        </w:rPr>
        <w:t>。</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从过程来看，项目资金使用按照计划执行，符合国家财经法规和财务管理制度以及有关专项资管理办法的规定。项目资金拨付与使用有基本的审批流程和手续。项目管理所需人员、设备设施等条件落实到位，项目基本建设程序管理、项目质量管理健全且得到执行，</w:t>
      </w:r>
      <w:r>
        <w:rPr>
          <w:rFonts w:hint="eastAsia" w:ascii="仿宋" w:hAnsi="仿宋" w:eastAsia="仿宋"/>
          <w:sz w:val="28"/>
          <w:szCs w:val="28"/>
        </w:rPr>
        <w:t>项目档案制度完善且执行规范</w:t>
      </w:r>
      <w:r>
        <w:rPr>
          <w:rFonts w:hint="eastAsia" w:ascii="仿宋" w:hAnsi="仿宋" w:eastAsia="仿宋"/>
          <w:bCs/>
          <w:sz w:val="28"/>
          <w:szCs w:val="28"/>
        </w:rPr>
        <w:t>。</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从产出来看，项目产出良好，项目基本在预定时间内及时实施完成，质量达标率达到预期。</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从效果来看，项目的实施提升了城市排渍功能，改善了居民生活环境，有利于改善城市经济发展相匹配的市政设施基础。</w:t>
      </w:r>
    </w:p>
    <w:p>
      <w:pPr>
        <w:spacing w:line="360" w:lineRule="auto"/>
        <w:ind w:firstLine="560" w:firstLineChars="200"/>
        <w:outlineLvl w:val="2"/>
        <w:rPr>
          <w:rFonts w:ascii="仿宋" w:hAnsi="仿宋" w:eastAsia="仿宋"/>
          <w:bCs/>
          <w:sz w:val="28"/>
          <w:szCs w:val="28"/>
        </w:rPr>
      </w:pPr>
      <w:bookmarkStart w:id="33" w:name="_Toc517708024"/>
      <w:r>
        <w:rPr>
          <w:rFonts w:hint="eastAsia" w:ascii="仿宋" w:hAnsi="仿宋" w:eastAsia="仿宋"/>
          <w:bCs/>
          <w:sz w:val="28"/>
          <w:szCs w:val="28"/>
        </w:rPr>
        <w:t>2.主要结论</w:t>
      </w:r>
      <w:bookmarkEnd w:id="33"/>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本次项目绩效评价结果为“优”。项目符合城市发展政策，项目立项依据充分；财务和工程管理工作有效；项目完成情况、完成及时情况和质量达计划目标；项目社会效益、环境效益明显。项目实施后增强了城区排渍、排污能力，改善了居民的生活环境，有利于城区的可持续发展。</w:t>
      </w:r>
    </w:p>
    <w:p>
      <w:pPr>
        <w:spacing w:line="360" w:lineRule="auto"/>
        <w:ind w:firstLine="560" w:firstLineChars="200"/>
        <w:outlineLvl w:val="0"/>
        <w:rPr>
          <w:rFonts w:ascii="黑体" w:hAnsi="黑体" w:eastAsia="黑体" w:cs="黑体"/>
          <w:sz w:val="28"/>
          <w:szCs w:val="28"/>
        </w:rPr>
      </w:pPr>
      <w:bookmarkStart w:id="34" w:name="_Toc517708025"/>
      <w:bookmarkStart w:id="35" w:name="_Toc7491"/>
      <w:bookmarkStart w:id="36" w:name="_Toc511502547"/>
      <w:r>
        <w:rPr>
          <w:rFonts w:hint="eastAsia" w:ascii="黑体" w:hAnsi="黑体" w:eastAsia="黑体" w:cs="黑体"/>
          <w:sz w:val="28"/>
          <w:szCs w:val="28"/>
        </w:rPr>
        <w:t>四、主要经验及做法、存在的问题</w:t>
      </w:r>
      <w:bookmarkEnd w:id="34"/>
      <w:bookmarkEnd w:id="35"/>
      <w:bookmarkEnd w:id="36"/>
    </w:p>
    <w:p>
      <w:pPr>
        <w:spacing w:line="360" w:lineRule="auto"/>
        <w:ind w:firstLine="560" w:firstLineChars="200"/>
        <w:outlineLvl w:val="1"/>
        <w:rPr>
          <w:rFonts w:ascii="仿宋" w:hAnsi="仿宋" w:eastAsia="仿宋"/>
          <w:bCs/>
          <w:sz w:val="28"/>
          <w:szCs w:val="28"/>
        </w:rPr>
      </w:pPr>
      <w:bookmarkStart w:id="37" w:name="_Toc517708026"/>
      <w:bookmarkStart w:id="38" w:name="_Toc511502548"/>
      <w:bookmarkStart w:id="39" w:name="_Toc590"/>
      <w:r>
        <w:rPr>
          <w:rFonts w:hint="eastAsia" w:ascii="仿宋" w:hAnsi="仿宋" w:eastAsia="仿宋"/>
          <w:bCs/>
          <w:sz w:val="28"/>
          <w:szCs w:val="28"/>
        </w:rPr>
        <w:t>（一）主要经验及做法</w:t>
      </w:r>
      <w:bookmarkEnd w:id="37"/>
      <w:bookmarkEnd w:id="38"/>
      <w:bookmarkEnd w:id="39"/>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1、工程建设要先进行充分的前期论证，再精心设计，报请主管部门进行专家论证，避免在建设过程中大量返工和设计变更等，造成不必要的损失。</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2、在编制过程除遵照规范标准执行外，还要正确把握《生产建设项目水土保持方案技术审查要点》的基本要求。</w:t>
      </w:r>
    </w:p>
    <w:p>
      <w:pPr>
        <w:spacing w:line="360" w:lineRule="auto"/>
        <w:ind w:firstLine="560" w:firstLineChars="200"/>
        <w:outlineLvl w:val="1"/>
        <w:rPr>
          <w:rFonts w:ascii="仿宋" w:hAnsi="仿宋" w:eastAsia="仿宋"/>
          <w:bCs/>
          <w:sz w:val="28"/>
          <w:szCs w:val="28"/>
        </w:rPr>
      </w:pPr>
      <w:bookmarkStart w:id="40" w:name="_Toc517708027"/>
      <w:r>
        <w:rPr>
          <w:rFonts w:hint="eastAsia" w:ascii="仿宋" w:hAnsi="仿宋" w:eastAsia="仿宋"/>
          <w:bCs/>
          <w:sz w:val="28"/>
          <w:szCs w:val="28"/>
        </w:rPr>
        <w:t>（二）主要问题</w:t>
      </w:r>
      <w:bookmarkEnd w:id="40"/>
    </w:p>
    <w:p>
      <w:pPr>
        <w:spacing w:line="360" w:lineRule="auto"/>
        <w:ind w:firstLine="560"/>
        <w:rPr>
          <w:rFonts w:ascii="仿宋" w:hAnsi="仿宋" w:eastAsia="仿宋"/>
          <w:bCs/>
          <w:sz w:val="28"/>
          <w:szCs w:val="28"/>
        </w:rPr>
      </w:pPr>
      <w:r>
        <w:rPr>
          <w:rFonts w:hint="eastAsia" w:ascii="仿宋" w:hAnsi="仿宋" w:eastAsia="仿宋"/>
          <w:bCs/>
          <w:sz w:val="28"/>
          <w:szCs w:val="28"/>
          <w:lang w:val="en-US" w:eastAsia="zh-CN"/>
        </w:rPr>
        <w:t xml:space="preserve"> </w:t>
      </w:r>
      <w:r>
        <w:rPr>
          <w:rFonts w:hint="eastAsia" w:ascii="仿宋" w:hAnsi="仿宋" w:eastAsia="仿宋"/>
          <w:bCs/>
          <w:sz w:val="28"/>
          <w:szCs w:val="28"/>
        </w:rPr>
        <w:t>一是项目申报文本中项目支出测算依据及说明不具体，未对项目支出内容进行细化测算；二是部分项目的产出指标均未填报指标值、指标内容等；三是年度绩效目标值设置不科学，如2017年生产建设项目水土保持方案编制总体目标是完成250个项目，而水保室实施过程中，全年只能完成并审批通过64个，审批率为25.6%。</w:t>
      </w:r>
    </w:p>
    <w:p>
      <w:pPr>
        <w:spacing w:line="360" w:lineRule="auto"/>
        <w:ind w:firstLine="560" w:firstLineChars="200"/>
        <w:outlineLvl w:val="0"/>
        <w:rPr>
          <w:rFonts w:ascii="黑体" w:hAnsi="黑体" w:eastAsia="黑体" w:cs="黑体"/>
          <w:sz w:val="28"/>
          <w:szCs w:val="28"/>
        </w:rPr>
      </w:pPr>
      <w:bookmarkStart w:id="41" w:name="_Toc511502550"/>
      <w:bookmarkStart w:id="42" w:name="_Toc517708028"/>
      <w:bookmarkStart w:id="43" w:name="_Toc31947"/>
      <w:r>
        <w:rPr>
          <w:rFonts w:hint="eastAsia" w:ascii="仿宋" w:hAnsi="仿宋" w:eastAsia="仿宋"/>
          <w:bCs/>
          <w:sz w:val="28"/>
          <w:szCs w:val="28"/>
          <w:lang w:val="en-US" w:eastAsia="zh-CN"/>
        </w:rPr>
        <w:t xml:space="preserve"> </w:t>
      </w:r>
      <w:r>
        <w:rPr>
          <w:rFonts w:hint="eastAsia" w:ascii="黑体" w:hAnsi="黑体" w:eastAsia="黑体" w:cs="黑体"/>
          <w:sz w:val="28"/>
          <w:szCs w:val="28"/>
        </w:rPr>
        <w:t>五、建议</w:t>
      </w:r>
      <w:bookmarkEnd w:id="41"/>
      <w:bookmarkEnd w:id="42"/>
    </w:p>
    <w:bookmarkEnd w:id="43"/>
    <w:p>
      <w:pPr>
        <w:spacing w:line="360" w:lineRule="auto"/>
        <w:ind w:firstLine="560" w:firstLineChars="200"/>
        <w:rPr>
          <w:rFonts w:ascii="仿宋" w:hAnsi="仿宋" w:eastAsia="仿宋"/>
          <w:bCs/>
          <w:sz w:val="28"/>
          <w:szCs w:val="28"/>
        </w:rPr>
      </w:pPr>
      <w:r>
        <w:rPr>
          <w:rFonts w:hint="eastAsia" w:ascii="仿宋" w:hAnsi="仿宋" w:eastAsia="仿宋"/>
          <w:sz w:val="28"/>
          <w:szCs w:val="28"/>
          <w:lang w:val="en-US" w:eastAsia="zh-CN"/>
        </w:rPr>
        <w:t xml:space="preserve"> </w:t>
      </w:r>
      <w:r>
        <w:rPr>
          <w:rFonts w:hint="eastAsia" w:ascii="仿宋" w:hAnsi="仿宋" w:eastAsia="仿宋"/>
          <w:bCs/>
          <w:sz w:val="28"/>
          <w:szCs w:val="28"/>
        </w:rPr>
        <w:t>加强对《预算法》、《会计法》等法律法规的学习宣传力度，落实部门预算编制的主体责任。要在区预算部门开展多种形式的《预算法》学习宣传活动，提高部门工作人员的预算法定意识、资金绩效意识、花钱责任意识，明确部门对预算编制的真实性、准确性、完整性负有的法定责任，增强机关工作人员的预算编制参与度，准确、合理编制项目绩效目标。</w:t>
      </w:r>
    </w:p>
    <w:p>
      <w:pPr>
        <w:spacing w:line="360" w:lineRule="auto"/>
        <w:ind w:firstLine="560" w:firstLineChars="200"/>
        <w:outlineLvl w:val="0"/>
        <w:rPr>
          <w:rFonts w:ascii="黑体" w:hAnsi="黑体" w:eastAsia="黑体" w:cs="黑体"/>
          <w:sz w:val="28"/>
          <w:szCs w:val="28"/>
        </w:rPr>
      </w:pPr>
      <w:bookmarkStart w:id="44" w:name="_Toc22970"/>
      <w:bookmarkStart w:id="45" w:name="_Toc511502553"/>
      <w:bookmarkStart w:id="46" w:name="_Toc517708029"/>
      <w:r>
        <w:rPr>
          <w:rFonts w:hint="eastAsia" w:ascii="仿宋" w:hAnsi="仿宋" w:eastAsia="仿宋"/>
          <w:bCs/>
          <w:sz w:val="28"/>
          <w:szCs w:val="28"/>
          <w:lang w:val="en-US" w:eastAsia="zh-CN"/>
        </w:rPr>
        <w:t xml:space="preserve"> </w:t>
      </w:r>
      <w:r>
        <w:rPr>
          <w:rFonts w:hint="eastAsia" w:ascii="黑体" w:hAnsi="黑体" w:eastAsia="黑体" w:cs="黑体"/>
          <w:sz w:val="28"/>
          <w:szCs w:val="28"/>
        </w:rPr>
        <w:t>六、其他需说明的问题</w:t>
      </w:r>
      <w:bookmarkEnd w:id="44"/>
      <w:bookmarkEnd w:id="45"/>
      <w:bookmarkEnd w:id="46"/>
    </w:p>
    <w:p>
      <w:pPr>
        <w:spacing w:line="360" w:lineRule="auto"/>
        <w:ind w:firstLine="560" w:firstLineChars="200"/>
        <w:rPr>
          <w:rFonts w:ascii="仿宋" w:hAnsi="仿宋" w:eastAsia="仿宋"/>
          <w:sz w:val="28"/>
          <w:szCs w:val="28"/>
        </w:rPr>
      </w:pPr>
      <w:r>
        <w:rPr>
          <w:rFonts w:hint="eastAsia" w:ascii="仿宋" w:hAnsi="仿宋" w:eastAsia="仿宋"/>
          <w:sz w:val="28"/>
          <w:szCs w:val="28"/>
          <w:lang w:val="en-US" w:eastAsia="zh-CN"/>
        </w:rPr>
        <w:t xml:space="preserve"> </w:t>
      </w:r>
      <w:r>
        <w:rPr>
          <w:rFonts w:hint="eastAsia" w:ascii="仿宋" w:hAnsi="仿宋" w:eastAsia="仿宋"/>
          <w:sz w:val="28"/>
          <w:szCs w:val="28"/>
        </w:rPr>
        <w:t>部分项目绩效很难在短期内体现出来，一是项目效益是长期的过程，并非所有的投入当年就能见效，很难在短期内见到的效果；二是项目的效益难以准确定量衡量。</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lang w:val="en-US" w:eastAsia="zh-CN"/>
        </w:rPr>
        <w:t xml:space="preserve">  </w:t>
      </w:r>
      <w:r>
        <w:rPr>
          <w:rFonts w:hint="eastAsia" w:ascii="仿宋" w:hAnsi="仿宋" w:eastAsia="仿宋"/>
          <w:sz w:val="28"/>
          <w:szCs w:val="28"/>
        </w:rPr>
        <w:t xml:space="preserve">                       </w:t>
      </w:r>
    </w:p>
    <w:p>
      <w:pPr>
        <w:spacing w:line="360" w:lineRule="auto"/>
        <w:ind w:firstLine="560" w:firstLineChars="200"/>
      </w:pPr>
      <w:r>
        <w:rPr>
          <w:rFonts w:hint="eastAsia" w:ascii="仿宋" w:hAnsi="仿宋" w:eastAsia="仿宋"/>
          <w:sz w:val="28"/>
          <w:szCs w:val="28"/>
        </w:rPr>
        <w:t xml:space="preserve">  </w:t>
      </w:r>
      <w:r>
        <w:rPr>
          <w:rFonts w:hint="eastAsia" w:ascii="仿宋" w:hAnsi="仿宋" w:eastAsia="仿宋"/>
          <w:sz w:val="28"/>
          <w:szCs w:val="28"/>
          <w:lang w:val="en-US" w:eastAsia="zh-CN"/>
        </w:rPr>
        <w:t xml:space="preserve">                             </w:t>
      </w:r>
      <w:r>
        <w:rPr>
          <w:rFonts w:hint="eastAsia" w:ascii="仿宋" w:hAnsi="仿宋" w:eastAsia="仿宋"/>
          <w:sz w:val="28"/>
          <w:szCs w:val="28"/>
        </w:rPr>
        <w:t>二0一八年七月十五日</w:t>
      </w:r>
    </w:p>
    <w:sectPr>
      <w:footerReference r:id="rId4" w:type="default"/>
      <w:pgSz w:w="11850" w:h="16783"/>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algun Gothic Semilight">
    <w:altName w:val="宋体"/>
    <w:panose1 w:val="00000000000000000000"/>
    <w:charset w:val="86"/>
    <w:family w:val="swiss"/>
    <w:pitch w:val="default"/>
    <w:sig w:usb0="00000000" w:usb1="00000000" w:usb2="00000012" w:usb3="00000000" w:csb0="003E01BD" w:csb1="00000000"/>
  </w:font>
  <w:font w:name="方正仿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20</w:t>
    </w:r>
    <w:r>
      <w:fldChar w:fldCharType="end"/>
    </w:r>
  </w:p>
  <w:p>
    <w:pPr>
      <w:pStyle w:val="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2BCE10"/>
    <w:multiLevelType w:val="singleLevel"/>
    <w:tmpl w:val="AA2BCE1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A68"/>
    <w:rsid w:val="000924B0"/>
    <w:rsid w:val="000E016E"/>
    <w:rsid w:val="000F0BFF"/>
    <w:rsid w:val="000F1C74"/>
    <w:rsid w:val="000F54BB"/>
    <w:rsid w:val="00101AF6"/>
    <w:rsid w:val="00156362"/>
    <w:rsid w:val="001E5898"/>
    <w:rsid w:val="001F6A68"/>
    <w:rsid w:val="002469B1"/>
    <w:rsid w:val="002D0E32"/>
    <w:rsid w:val="00411F4F"/>
    <w:rsid w:val="00423797"/>
    <w:rsid w:val="00427412"/>
    <w:rsid w:val="00440133"/>
    <w:rsid w:val="00462CE4"/>
    <w:rsid w:val="00473879"/>
    <w:rsid w:val="004A2A1F"/>
    <w:rsid w:val="004C58FC"/>
    <w:rsid w:val="0053051C"/>
    <w:rsid w:val="0053738A"/>
    <w:rsid w:val="005814A7"/>
    <w:rsid w:val="005F2B9A"/>
    <w:rsid w:val="00627ECB"/>
    <w:rsid w:val="00630623"/>
    <w:rsid w:val="00640F88"/>
    <w:rsid w:val="006F7839"/>
    <w:rsid w:val="00722FA7"/>
    <w:rsid w:val="007D2490"/>
    <w:rsid w:val="0083180C"/>
    <w:rsid w:val="008717E7"/>
    <w:rsid w:val="009020F4"/>
    <w:rsid w:val="009D2601"/>
    <w:rsid w:val="00A26A19"/>
    <w:rsid w:val="00A402C6"/>
    <w:rsid w:val="00A47D3D"/>
    <w:rsid w:val="00A76C71"/>
    <w:rsid w:val="00AD2DE4"/>
    <w:rsid w:val="00AE4815"/>
    <w:rsid w:val="00AF549B"/>
    <w:rsid w:val="00B0116C"/>
    <w:rsid w:val="00B050E9"/>
    <w:rsid w:val="00B453CB"/>
    <w:rsid w:val="00B55C63"/>
    <w:rsid w:val="00B55F41"/>
    <w:rsid w:val="00BC6704"/>
    <w:rsid w:val="00C401E5"/>
    <w:rsid w:val="00C83B2C"/>
    <w:rsid w:val="00CE4C59"/>
    <w:rsid w:val="00D01713"/>
    <w:rsid w:val="00D26A36"/>
    <w:rsid w:val="00D27179"/>
    <w:rsid w:val="00D55825"/>
    <w:rsid w:val="00DE15AE"/>
    <w:rsid w:val="00E45386"/>
    <w:rsid w:val="00E63C6A"/>
    <w:rsid w:val="00EC6281"/>
    <w:rsid w:val="00ED3866"/>
    <w:rsid w:val="00EF1C6B"/>
    <w:rsid w:val="00F243E2"/>
    <w:rsid w:val="00F74552"/>
    <w:rsid w:val="00F85758"/>
    <w:rsid w:val="00FE50AE"/>
    <w:rsid w:val="011619D5"/>
    <w:rsid w:val="024977BB"/>
    <w:rsid w:val="043C2A17"/>
    <w:rsid w:val="04F362FC"/>
    <w:rsid w:val="053A3B6B"/>
    <w:rsid w:val="05DF0C97"/>
    <w:rsid w:val="06C75A9B"/>
    <w:rsid w:val="07427A65"/>
    <w:rsid w:val="08255181"/>
    <w:rsid w:val="08F54415"/>
    <w:rsid w:val="092513DB"/>
    <w:rsid w:val="094012E4"/>
    <w:rsid w:val="0BA8348C"/>
    <w:rsid w:val="0BAC1EC3"/>
    <w:rsid w:val="0BAD7C75"/>
    <w:rsid w:val="0BF5512F"/>
    <w:rsid w:val="0C0617A3"/>
    <w:rsid w:val="0D08548C"/>
    <w:rsid w:val="112253B8"/>
    <w:rsid w:val="11502F87"/>
    <w:rsid w:val="11B0026D"/>
    <w:rsid w:val="11EF1214"/>
    <w:rsid w:val="12515C87"/>
    <w:rsid w:val="13A5767A"/>
    <w:rsid w:val="14036EB4"/>
    <w:rsid w:val="14592BF5"/>
    <w:rsid w:val="15850CA3"/>
    <w:rsid w:val="15F479EB"/>
    <w:rsid w:val="16291CDF"/>
    <w:rsid w:val="181E065C"/>
    <w:rsid w:val="188B2BCF"/>
    <w:rsid w:val="1A365119"/>
    <w:rsid w:val="1A3F1B4F"/>
    <w:rsid w:val="1A3F2E17"/>
    <w:rsid w:val="1B037C30"/>
    <w:rsid w:val="1B4A4ED5"/>
    <w:rsid w:val="1C2167E2"/>
    <w:rsid w:val="1C906F25"/>
    <w:rsid w:val="1CB52DCE"/>
    <w:rsid w:val="1E660C08"/>
    <w:rsid w:val="203E6FA4"/>
    <w:rsid w:val="2106178E"/>
    <w:rsid w:val="21BF7F6B"/>
    <w:rsid w:val="22B465EB"/>
    <w:rsid w:val="232A40C1"/>
    <w:rsid w:val="263E742A"/>
    <w:rsid w:val="26403A28"/>
    <w:rsid w:val="26D1123D"/>
    <w:rsid w:val="270E0574"/>
    <w:rsid w:val="27387775"/>
    <w:rsid w:val="28317ACF"/>
    <w:rsid w:val="291F14E2"/>
    <w:rsid w:val="29922CB4"/>
    <w:rsid w:val="2B2A72A3"/>
    <w:rsid w:val="2DA13818"/>
    <w:rsid w:val="2EF714FF"/>
    <w:rsid w:val="2F5739E0"/>
    <w:rsid w:val="3006187C"/>
    <w:rsid w:val="31BB42DC"/>
    <w:rsid w:val="346053E0"/>
    <w:rsid w:val="34910A7F"/>
    <w:rsid w:val="3702573A"/>
    <w:rsid w:val="378E71C4"/>
    <w:rsid w:val="37A82FD8"/>
    <w:rsid w:val="37DB4908"/>
    <w:rsid w:val="38AA2178"/>
    <w:rsid w:val="38C367A9"/>
    <w:rsid w:val="3A3B3B69"/>
    <w:rsid w:val="3B6B0524"/>
    <w:rsid w:val="3EC12C56"/>
    <w:rsid w:val="40782984"/>
    <w:rsid w:val="41A77903"/>
    <w:rsid w:val="45912B36"/>
    <w:rsid w:val="469E7D8F"/>
    <w:rsid w:val="479D20F3"/>
    <w:rsid w:val="47C63392"/>
    <w:rsid w:val="48392E6E"/>
    <w:rsid w:val="48CA4E98"/>
    <w:rsid w:val="491362C8"/>
    <w:rsid w:val="49420946"/>
    <w:rsid w:val="49437007"/>
    <w:rsid w:val="49EE6A34"/>
    <w:rsid w:val="4B772C52"/>
    <w:rsid w:val="4C6B7847"/>
    <w:rsid w:val="4DCB4735"/>
    <w:rsid w:val="4E054A3A"/>
    <w:rsid w:val="4E163FD2"/>
    <w:rsid w:val="4F9E5A56"/>
    <w:rsid w:val="50454210"/>
    <w:rsid w:val="5061685E"/>
    <w:rsid w:val="52C827D6"/>
    <w:rsid w:val="53917EA3"/>
    <w:rsid w:val="53D14E65"/>
    <w:rsid w:val="53E02CB5"/>
    <w:rsid w:val="57BF4437"/>
    <w:rsid w:val="5AA44C18"/>
    <w:rsid w:val="5B1F46C4"/>
    <w:rsid w:val="5C0B70F9"/>
    <w:rsid w:val="5C91170E"/>
    <w:rsid w:val="5DCB7161"/>
    <w:rsid w:val="5F2B4604"/>
    <w:rsid w:val="5FAD482D"/>
    <w:rsid w:val="5FE31785"/>
    <w:rsid w:val="60C056D5"/>
    <w:rsid w:val="61FC2E74"/>
    <w:rsid w:val="636742BA"/>
    <w:rsid w:val="63D12B27"/>
    <w:rsid w:val="64055811"/>
    <w:rsid w:val="64BB71DA"/>
    <w:rsid w:val="64FA052D"/>
    <w:rsid w:val="6589703A"/>
    <w:rsid w:val="663D37A6"/>
    <w:rsid w:val="67056724"/>
    <w:rsid w:val="675B5AB9"/>
    <w:rsid w:val="6B146E2D"/>
    <w:rsid w:val="6C2E5A3D"/>
    <w:rsid w:val="6C700D0F"/>
    <w:rsid w:val="6DEF159B"/>
    <w:rsid w:val="6F732F20"/>
    <w:rsid w:val="6F9047AB"/>
    <w:rsid w:val="6FFD7B83"/>
    <w:rsid w:val="70D87661"/>
    <w:rsid w:val="722D7391"/>
    <w:rsid w:val="72DE7EE6"/>
    <w:rsid w:val="732E1A61"/>
    <w:rsid w:val="73986528"/>
    <w:rsid w:val="75647FCD"/>
    <w:rsid w:val="75AC5602"/>
    <w:rsid w:val="75CE698D"/>
    <w:rsid w:val="75D61282"/>
    <w:rsid w:val="766846A9"/>
    <w:rsid w:val="77445955"/>
    <w:rsid w:val="77D12C2E"/>
    <w:rsid w:val="77DB16D4"/>
    <w:rsid w:val="786E5426"/>
    <w:rsid w:val="79C62A8B"/>
    <w:rsid w:val="7B470FC6"/>
    <w:rsid w:val="7B533FAA"/>
    <w:rsid w:val="7B5C3842"/>
    <w:rsid w:val="7BD73647"/>
    <w:rsid w:val="7BEA0549"/>
    <w:rsid w:val="7CEB754A"/>
    <w:rsid w:val="7E9D4A56"/>
    <w:rsid w:val="7F1C7F7D"/>
    <w:rsid w:val="7F794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toc 3"/>
    <w:basedOn w:val="1"/>
    <w:next w:val="1"/>
    <w:qFormat/>
    <w:uiPriority w:val="39"/>
    <w:pPr>
      <w:ind w:left="840" w:leftChars="400"/>
    </w:pPr>
  </w:style>
  <w:style w:type="paragraph" w:styleId="3">
    <w:name w:val="Balloon Text"/>
    <w:basedOn w:val="1"/>
    <w:link w:val="12"/>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39"/>
  </w:style>
  <w:style w:type="paragraph" w:styleId="7">
    <w:name w:val="toc 2"/>
    <w:basedOn w:val="1"/>
    <w:next w:val="1"/>
    <w:qFormat/>
    <w:uiPriority w:val="39"/>
    <w:pPr>
      <w:ind w:left="420" w:leftChars="200"/>
    </w:pPr>
  </w:style>
  <w:style w:type="character" w:styleId="9">
    <w:name w:val="Hyperlink"/>
    <w:basedOn w:val="8"/>
    <w:unhideWhenUsed/>
    <w:qFormat/>
    <w:uiPriority w:val="99"/>
    <w:rPr>
      <w:color w:val="0563C1" w:themeColor="hyperlink"/>
      <w:u w:val="single"/>
      <w14:textFill>
        <w14:solidFill>
          <w14:schemeClr w14:val="hlink"/>
        </w14:solidFill>
      </w14:textFill>
    </w:rPr>
  </w:style>
  <w:style w:type="paragraph" w:customStyle="1" w:styleId="11">
    <w:name w:val="lxl"/>
    <w:basedOn w:val="1"/>
    <w:qFormat/>
    <w:uiPriority w:val="0"/>
    <w:pPr>
      <w:widowControl/>
      <w:spacing w:line="560" w:lineRule="exact"/>
    </w:pPr>
    <w:rPr>
      <w:rFonts w:ascii="Malgun Gothic Semilight" w:hAnsi="Malgun Gothic Semilight" w:eastAsia="方正仿宋_GBK"/>
      <w:sz w:val="30"/>
      <w:szCs w:val="30"/>
    </w:rPr>
  </w:style>
  <w:style w:type="character" w:customStyle="1" w:styleId="12">
    <w:name w:val="批注框文本 Char"/>
    <w:basedOn w:val="8"/>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1590</Words>
  <Characters>9066</Characters>
  <Lines>75</Lines>
  <Paragraphs>21</Paragraphs>
  <TotalTime>17</TotalTime>
  <ScaleCrop>false</ScaleCrop>
  <LinksUpToDate>false</LinksUpToDate>
  <CharactersWithSpaces>10635</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2018-08-27T02:11:00Z</cp:lastPrinted>
  <dcterms:modified xsi:type="dcterms:W3CDTF">2018-10-26T03:03:50Z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