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1F6A75">
        <w:trPr>
          <w:trHeight w:val="10427"/>
        </w:trPr>
        <w:tc>
          <w:tcPr>
            <w:tcW w:w="8529" w:type="dxa"/>
          </w:tcPr>
          <w:p w:rsidR="001F6A75" w:rsidRDefault="001F6A75">
            <w:pPr>
              <w:jc w:val="center"/>
              <w:rPr>
                <w:rFonts w:ascii="仿宋_GB2312" w:eastAsia="仿宋_GB2312" w:hint="eastAsia"/>
                <w:b/>
                <w:sz w:val="32"/>
                <w:szCs w:val="32"/>
              </w:rPr>
            </w:pPr>
          </w:p>
          <w:p w:rsidR="001F6A75" w:rsidRDefault="001F6A75">
            <w:pPr>
              <w:jc w:val="center"/>
              <w:rPr>
                <w:rFonts w:ascii="仿宋_GB2312" w:eastAsia="仿宋_GB2312"/>
                <w:b/>
                <w:sz w:val="32"/>
                <w:szCs w:val="32"/>
              </w:rPr>
            </w:pPr>
          </w:p>
          <w:p w:rsidR="001F6A75" w:rsidRDefault="00713EBA">
            <w:pPr>
              <w:jc w:val="center"/>
              <w:rPr>
                <w:rFonts w:ascii="黑体" w:eastAsia="黑体" w:hAnsi="黑体"/>
                <w:b/>
                <w:sz w:val="36"/>
                <w:szCs w:val="36"/>
              </w:rPr>
            </w:pPr>
            <w:r>
              <w:rPr>
                <w:rFonts w:ascii="黑体" w:eastAsia="黑体" w:hAnsi="黑体" w:hint="eastAsia"/>
                <w:b/>
                <w:sz w:val="36"/>
                <w:szCs w:val="36"/>
              </w:rPr>
              <w:t>武汉市市直预算项目</w:t>
            </w:r>
          </w:p>
          <w:p w:rsidR="001F6A75" w:rsidRDefault="00713EBA">
            <w:pPr>
              <w:jc w:val="center"/>
              <w:rPr>
                <w:rFonts w:ascii="黑体" w:eastAsia="黑体" w:hAnsi="黑体"/>
                <w:b/>
                <w:sz w:val="32"/>
                <w:szCs w:val="32"/>
              </w:rPr>
            </w:pPr>
            <w:r>
              <w:rPr>
                <w:rFonts w:ascii="黑体" w:eastAsia="黑体" w:hAnsi="黑体" w:hint="eastAsia"/>
                <w:b/>
                <w:sz w:val="36"/>
                <w:szCs w:val="36"/>
              </w:rPr>
              <w:t>绩效自评报告</w:t>
            </w:r>
          </w:p>
          <w:p w:rsidR="001F6A75" w:rsidRDefault="001F6A75">
            <w:pPr>
              <w:jc w:val="center"/>
              <w:rPr>
                <w:rFonts w:ascii="黑体" w:eastAsia="黑体" w:hAnsi="黑体"/>
                <w:b/>
                <w:bCs/>
                <w:sz w:val="32"/>
                <w:szCs w:val="32"/>
              </w:rPr>
            </w:pPr>
          </w:p>
          <w:p w:rsidR="001F6A75" w:rsidRDefault="001F6A75">
            <w:pPr>
              <w:rPr>
                <w:rFonts w:ascii="黑体" w:eastAsia="黑体" w:hAnsi="黑体"/>
                <w:b/>
                <w:sz w:val="32"/>
                <w:szCs w:val="32"/>
              </w:rPr>
            </w:pPr>
          </w:p>
          <w:p w:rsidR="001F6A75" w:rsidRPr="001F5C48" w:rsidRDefault="001F6A75">
            <w:pPr>
              <w:rPr>
                <w:rFonts w:ascii="黑体" w:eastAsia="黑体" w:hAnsi="黑体"/>
                <w:b/>
                <w:sz w:val="32"/>
                <w:szCs w:val="32"/>
              </w:rPr>
            </w:pPr>
          </w:p>
          <w:p w:rsidR="001F6A75" w:rsidRDefault="001F6A75">
            <w:pPr>
              <w:rPr>
                <w:rFonts w:ascii="黑体" w:eastAsia="黑体" w:hAnsi="黑体"/>
                <w:b/>
                <w:sz w:val="32"/>
                <w:szCs w:val="32"/>
              </w:rPr>
            </w:pPr>
          </w:p>
          <w:p w:rsidR="001F6A75" w:rsidRDefault="001F6A75">
            <w:pPr>
              <w:rPr>
                <w:rFonts w:ascii="黑体" w:eastAsia="黑体" w:hAnsi="黑体"/>
                <w:b/>
                <w:sz w:val="32"/>
                <w:szCs w:val="32"/>
              </w:rPr>
            </w:pPr>
          </w:p>
          <w:p w:rsidR="001F6A75" w:rsidRDefault="00713EBA">
            <w:pPr>
              <w:rPr>
                <w:rFonts w:ascii="黑体" w:eastAsia="黑体" w:hAnsi="黑体"/>
                <w:b/>
                <w:sz w:val="32"/>
                <w:szCs w:val="32"/>
              </w:rPr>
            </w:pPr>
            <w:r>
              <w:rPr>
                <w:rFonts w:ascii="黑体" w:eastAsia="黑体" w:hAnsi="黑体" w:hint="eastAsia"/>
                <w:b/>
                <w:sz w:val="32"/>
                <w:szCs w:val="32"/>
              </w:rPr>
              <w:t xml:space="preserve">          </w:t>
            </w:r>
            <w:r>
              <w:rPr>
                <w:rFonts w:ascii="黑体" w:eastAsia="黑体" w:hAnsi="黑体" w:hint="eastAsia"/>
                <w:bCs/>
                <w:sz w:val="32"/>
                <w:szCs w:val="32"/>
              </w:rPr>
              <w:t>项目名称：水利工程运行与维护</w:t>
            </w:r>
          </w:p>
          <w:p w:rsidR="001F6A75" w:rsidRDefault="00713EBA">
            <w:pPr>
              <w:tabs>
                <w:tab w:val="center" w:pos="4153"/>
              </w:tabs>
              <w:ind w:leftChars="760" w:left="3196" w:hangingChars="500" w:hanging="1600"/>
              <w:rPr>
                <w:rFonts w:ascii="黑体" w:eastAsia="黑体" w:hAnsi="黑体"/>
                <w:bCs/>
                <w:sz w:val="32"/>
                <w:szCs w:val="32"/>
              </w:rPr>
            </w:pPr>
            <w:r>
              <w:rPr>
                <w:rFonts w:ascii="黑体" w:eastAsia="黑体" w:hAnsi="黑体" w:hint="eastAsia"/>
                <w:bCs/>
                <w:sz w:val="32"/>
                <w:szCs w:val="32"/>
              </w:rPr>
              <w:t>项目单位：武汉市水务防汛信息中心</w:t>
            </w:r>
          </w:p>
          <w:p w:rsidR="001F6A75" w:rsidRDefault="00713EBA">
            <w:pPr>
              <w:tabs>
                <w:tab w:val="center" w:pos="4153"/>
              </w:tabs>
              <w:ind w:leftChars="760" w:left="3196" w:hangingChars="500" w:hanging="1600"/>
              <w:rPr>
                <w:rFonts w:ascii="黑体" w:eastAsia="黑体" w:hAnsi="黑体"/>
                <w:bCs/>
                <w:sz w:val="32"/>
                <w:szCs w:val="32"/>
              </w:rPr>
            </w:pPr>
            <w:r>
              <w:rPr>
                <w:rFonts w:ascii="黑体" w:eastAsia="黑体" w:hAnsi="黑体" w:hint="eastAsia"/>
                <w:bCs/>
                <w:sz w:val="32"/>
                <w:szCs w:val="32"/>
              </w:rPr>
              <w:t>主管部门：武汉市水务局</w:t>
            </w:r>
          </w:p>
          <w:p w:rsidR="001F6A75" w:rsidRDefault="00713EBA">
            <w:pPr>
              <w:ind w:firstLineChars="500" w:firstLine="1600"/>
              <w:rPr>
                <w:rFonts w:ascii="黑体" w:eastAsia="黑体" w:hAnsi="黑体"/>
                <w:bCs/>
                <w:sz w:val="32"/>
                <w:szCs w:val="32"/>
              </w:rPr>
            </w:pPr>
            <w:r>
              <w:rPr>
                <w:rFonts w:ascii="黑体" w:eastAsia="黑体" w:hAnsi="黑体" w:hint="eastAsia"/>
                <w:bCs/>
                <w:sz w:val="32"/>
                <w:szCs w:val="32"/>
              </w:rPr>
              <w:t>报告时间：二○一八年七月</w:t>
            </w:r>
          </w:p>
          <w:p w:rsidR="001F6A75" w:rsidRDefault="001F6A75">
            <w:pPr>
              <w:jc w:val="center"/>
              <w:rPr>
                <w:rFonts w:ascii="黑体" w:eastAsia="黑体" w:hAnsi="黑体"/>
                <w:bCs/>
                <w:sz w:val="32"/>
                <w:szCs w:val="32"/>
              </w:rPr>
            </w:pPr>
          </w:p>
          <w:p w:rsidR="001F6A75" w:rsidRDefault="001F6A75">
            <w:pPr>
              <w:jc w:val="center"/>
              <w:rPr>
                <w:rFonts w:ascii="黑体" w:eastAsia="黑体" w:hAnsi="黑体"/>
                <w:bCs/>
                <w:sz w:val="32"/>
                <w:szCs w:val="32"/>
              </w:rPr>
            </w:pPr>
          </w:p>
          <w:p w:rsidR="001F6A75" w:rsidRDefault="001F6A75">
            <w:pPr>
              <w:jc w:val="center"/>
              <w:rPr>
                <w:rFonts w:ascii="黑体" w:eastAsia="黑体" w:hAnsi="黑体"/>
                <w:bCs/>
                <w:sz w:val="32"/>
                <w:szCs w:val="32"/>
              </w:rPr>
            </w:pPr>
          </w:p>
          <w:p w:rsidR="001F6A75" w:rsidRDefault="001F6A75">
            <w:pPr>
              <w:jc w:val="center"/>
              <w:rPr>
                <w:rFonts w:ascii="仿宋_GB2312" w:eastAsia="仿宋_GB2312"/>
                <w:b/>
                <w:sz w:val="32"/>
                <w:szCs w:val="32"/>
              </w:rPr>
            </w:pPr>
          </w:p>
          <w:p w:rsidR="001F6A75" w:rsidRDefault="001F6A75">
            <w:pPr>
              <w:jc w:val="center"/>
              <w:rPr>
                <w:rFonts w:ascii="仿宋_GB2312" w:eastAsia="仿宋_GB2312"/>
                <w:b/>
                <w:sz w:val="32"/>
                <w:szCs w:val="32"/>
              </w:rPr>
            </w:pPr>
          </w:p>
        </w:tc>
      </w:tr>
    </w:tbl>
    <w:p w:rsidR="001F6A75" w:rsidRDefault="001F6A75"/>
    <w:p w:rsidR="001F6A75" w:rsidRDefault="001F6A75"/>
    <w:p w:rsidR="001F6A75" w:rsidRDefault="001F6A75"/>
    <w:p w:rsidR="001F6A75" w:rsidRDefault="001F6A75"/>
    <w:p w:rsidR="001F6A75" w:rsidRDefault="001F6A75">
      <w:pPr>
        <w:jc w:val="center"/>
        <w:rPr>
          <w:rFonts w:ascii="黑体" w:eastAsia="黑体" w:hAnsi="黑体" w:cs="黑体"/>
          <w:b/>
          <w:bCs/>
          <w:sz w:val="32"/>
          <w:szCs w:val="32"/>
        </w:rPr>
        <w:sectPr w:rsidR="001F6A75">
          <w:footerReference w:type="default" r:id="rId8"/>
          <w:pgSz w:w="11906" w:h="16838"/>
          <w:pgMar w:top="1440" w:right="1800" w:bottom="1440" w:left="1800" w:header="851" w:footer="992" w:gutter="0"/>
          <w:pgNumType w:start="1"/>
          <w:cols w:space="720"/>
          <w:docGrid w:type="lines" w:linePitch="312"/>
        </w:sectPr>
      </w:pPr>
    </w:p>
    <w:p w:rsidR="001F6A75" w:rsidRDefault="00713EBA">
      <w:pPr>
        <w:spacing w:line="520" w:lineRule="exact"/>
        <w:ind w:firstLineChars="200" w:firstLine="560"/>
        <w:outlineLvl w:val="0"/>
        <w:rPr>
          <w:rFonts w:ascii="黑体" w:eastAsia="黑体" w:hAnsi="黑体" w:cs="黑体"/>
          <w:bCs/>
          <w:sz w:val="28"/>
          <w:szCs w:val="28"/>
        </w:rPr>
      </w:pPr>
      <w:bookmarkStart w:id="0" w:name="_Toc511502514"/>
      <w:bookmarkStart w:id="1" w:name="_Toc517708009"/>
      <w:r>
        <w:rPr>
          <w:rFonts w:ascii="黑体" w:eastAsia="黑体" w:hAnsi="黑体" w:cs="黑体" w:hint="eastAsia"/>
          <w:bCs/>
          <w:sz w:val="28"/>
          <w:szCs w:val="28"/>
        </w:rPr>
        <w:lastRenderedPageBreak/>
        <w:t>一、项目基本情况</w:t>
      </w:r>
      <w:bookmarkEnd w:id="0"/>
      <w:bookmarkEnd w:id="1"/>
    </w:p>
    <w:p w:rsidR="001F6A75" w:rsidRDefault="00713EBA">
      <w:pPr>
        <w:spacing w:line="520" w:lineRule="exact"/>
        <w:ind w:firstLineChars="200" w:firstLine="560"/>
        <w:outlineLvl w:val="1"/>
        <w:rPr>
          <w:rFonts w:ascii="仿宋" w:eastAsia="仿宋" w:hAnsi="仿宋"/>
          <w:bCs/>
          <w:sz w:val="28"/>
          <w:szCs w:val="28"/>
        </w:rPr>
      </w:pPr>
      <w:bookmarkStart w:id="2" w:name="_Toc511502515"/>
      <w:bookmarkStart w:id="3" w:name="_Toc517708010"/>
      <w:r>
        <w:rPr>
          <w:rFonts w:ascii="仿宋" w:eastAsia="仿宋" w:hAnsi="仿宋" w:hint="eastAsia"/>
          <w:bCs/>
          <w:sz w:val="28"/>
          <w:szCs w:val="28"/>
        </w:rPr>
        <w:t>（一）</w:t>
      </w:r>
      <w:bookmarkEnd w:id="2"/>
      <w:r>
        <w:rPr>
          <w:rFonts w:ascii="仿宋" w:eastAsia="仿宋" w:hAnsi="仿宋" w:hint="eastAsia"/>
          <w:bCs/>
          <w:sz w:val="28"/>
          <w:szCs w:val="28"/>
        </w:rPr>
        <w:t>项目概况</w:t>
      </w:r>
      <w:bookmarkEnd w:id="3"/>
    </w:p>
    <w:p w:rsidR="001F6A75" w:rsidRDefault="00713EBA">
      <w:pPr>
        <w:spacing w:line="520" w:lineRule="exact"/>
        <w:ind w:firstLineChars="200" w:firstLine="560"/>
        <w:rPr>
          <w:rFonts w:ascii="仿宋" w:eastAsia="仿宋" w:hAnsi="仿宋"/>
          <w:bCs/>
          <w:sz w:val="28"/>
          <w:szCs w:val="28"/>
          <w:highlight w:val="yellow"/>
        </w:rPr>
      </w:pPr>
      <w:r>
        <w:rPr>
          <w:rFonts w:ascii="仿宋" w:eastAsia="仿宋" w:hAnsi="仿宋" w:hint="eastAsia"/>
          <w:bCs/>
          <w:sz w:val="28"/>
          <w:szCs w:val="28"/>
        </w:rPr>
        <w:t>武汉市水务防汛信息中心主要负责为国家建设提供防汛、水文、通讯信息服务。负责水务防汛信息采集处理、水文信息管理和应用、计算机信息管理和应用、计算机网络建设和管理，计算机软硬件及网络运行维护，防汛会商、视频会议系统运行维护，水务全业务监测监控、应急预警系统建设和管理；负责水务数据分析运算整编；负责水务信息化规划的编制、水务信息技术培训、推广及业务指导；负责武汉市水利专网的技术监管；负责水务网络及新型媒体宣传、信息管理和发布，舆情监控。武汉市水务防汛信息中心水务信息化系统维护项目、计算机网络系统维护项目及排水信息维护管理项目的实施，保证了水务信息系统正常运行，保障水务通信网络、设施、设备完好，应用系统稳定，完善了排水管理系统监测维护等，智慧湖泊建设项目整合了信息资源，建立湖泊综合数据库，搭建武汉市湖泊“一张图”。</w:t>
      </w:r>
    </w:p>
    <w:p w:rsidR="001F6A75" w:rsidRDefault="00713EBA">
      <w:pPr>
        <w:spacing w:line="520" w:lineRule="exact"/>
        <w:ind w:firstLineChars="200" w:firstLine="560"/>
        <w:outlineLvl w:val="1"/>
        <w:rPr>
          <w:rFonts w:ascii="仿宋" w:eastAsia="仿宋" w:hAnsi="仿宋"/>
          <w:bCs/>
          <w:sz w:val="28"/>
          <w:szCs w:val="28"/>
        </w:rPr>
      </w:pPr>
      <w:bookmarkStart w:id="4" w:name="_Toc517708011"/>
      <w:bookmarkStart w:id="5" w:name="_Toc511502516"/>
      <w:r>
        <w:rPr>
          <w:rFonts w:ascii="仿宋" w:eastAsia="仿宋" w:hAnsi="仿宋" w:hint="eastAsia"/>
          <w:bCs/>
          <w:sz w:val="28"/>
          <w:szCs w:val="28"/>
        </w:rPr>
        <w:t>（二）项目预算绩效目标</w:t>
      </w:r>
      <w:bookmarkEnd w:id="4"/>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项目绩效目标是稳步推进水务信息化建设；保障水务通信网络、设施设备完好，应用系统稳定；优化完善排水管理系统；搭建武汉市湖泊“一张图”。具体绩效指标设置情况如下：</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水务信息化系统维护项目绩效指标设置情况如下：</w:t>
      </w:r>
    </w:p>
    <w:tbl>
      <w:tblPr>
        <w:tblW w:w="8931" w:type="dxa"/>
        <w:tblInd w:w="93" w:type="dxa"/>
        <w:tblLayout w:type="fixed"/>
        <w:tblLook w:val="04A0" w:firstRow="1" w:lastRow="0" w:firstColumn="1" w:lastColumn="0" w:noHBand="0" w:noVBand="1"/>
      </w:tblPr>
      <w:tblGrid>
        <w:gridCol w:w="1461"/>
        <w:gridCol w:w="2565"/>
        <w:gridCol w:w="3105"/>
        <w:gridCol w:w="1800"/>
      </w:tblGrid>
      <w:tr w:rsidR="001F6A75">
        <w:trPr>
          <w:trHeight w:val="480"/>
          <w:tblHeader/>
        </w:trPr>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一级指标</w:t>
            </w:r>
          </w:p>
        </w:tc>
        <w:tc>
          <w:tcPr>
            <w:tcW w:w="256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二级指标</w:t>
            </w:r>
          </w:p>
        </w:tc>
        <w:tc>
          <w:tcPr>
            <w:tcW w:w="310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指标内容</w:t>
            </w:r>
          </w:p>
        </w:tc>
        <w:tc>
          <w:tcPr>
            <w:tcW w:w="1800"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指标值</w:t>
            </w:r>
          </w:p>
        </w:tc>
      </w:tr>
      <w:tr w:rsidR="001F6A75">
        <w:trPr>
          <w:trHeight w:val="454"/>
        </w:trPr>
        <w:tc>
          <w:tcPr>
            <w:tcW w:w="1461" w:type="dxa"/>
            <w:vMerge w:val="restart"/>
            <w:tcBorders>
              <w:top w:val="nil"/>
              <w:left w:val="single" w:sz="4" w:space="0" w:color="auto"/>
              <w:bottom w:val="nil"/>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3105" w:type="dxa"/>
            <w:tcBorders>
              <w:top w:val="nil"/>
              <w:left w:val="nil"/>
              <w:bottom w:val="single" w:sz="4" w:space="0" w:color="auto"/>
              <w:right w:val="single" w:sz="4" w:space="0" w:color="auto"/>
            </w:tcBorders>
            <w:shd w:val="clear" w:color="auto" w:fill="auto"/>
            <w:vAlign w:val="center"/>
          </w:tcPr>
          <w:p w:rsidR="001F6A75" w:rsidRDefault="001F6A75">
            <w:pPr>
              <w:widowControl/>
              <w:jc w:val="left"/>
              <w:rPr>
                <w:rFonts w:ascii="仿宋" w:eastAsia="仿宋" w:hAnsi="仿宋" w:cs="宋体"/>
                <w:kern w:val="0"/>
                <w:sz w:val="24"/>
              </w:rPr>
            </w:pPr>
          </w:p>
        </w:tc>
        <w:tc>
          <w:tcPr>
            <w:tcW w:w="1800"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409"/>
        </w:trPr>
        <w:tc>
          <w:tcPr>
            <w:tcW w:w="1461" w:type="dxa"/>
            <w:vMerge/>
            <w:tcBorders>
              <w:top w:val="nil"/>
              <w:left w:val="single" w:sz="4" w:space="0" w:color="auto"/>
              <w:bottom w:val="nil"/>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安全运行</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合格</w:t>
            </w:r>
          </w:p>
        </w:tc>
      </w:tr>
      <w:tr w:rsidR="001F6A75">
        <w:trPr>
          <w:trHeight w:val="624"/>
        </w:trPr>
        <w:tc>
          <w:tcPr>
            <w:tcW w:w="1461" w:type="dxa"/>
            <w:vMerge/>
            <w:tcBorders>
              <w:top w:val="nil"/>
              <w:left w:val="single" w:sz="4" w:space="0" w:color="auto"/>
              <w:bottom w:val="nil"/>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当年度</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当年度</w:t>
            </w:r>
          </w:p>
        </w:tc>
      </w:tr>
      <w:tr w:rsidR="001F6A75">
        <w:trPr>
          <w:trHeight w:val="624"/>
        </w:trPr>
        <w:tc>
          <w:tcPr>
            <w:tcW w:w="1461" w:type="dxa"/>
            <w:vMerge/>
            <w:tcBorders>
              <w:top w:val="nil"/>
              <w:left w:val="single" w:sz="4" w:space="0" w:color="auto"/>
              <w:bottom w:val="nil"/>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成本指标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控制在预算内</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570.88万元</w:t>
            </w:r>
          </w:p>
        </w:tc>
      </w:tr>
      <w:tr w:rsidR="001F6A75">
        <w:trPr>
          <w:trHeight w:val="624"/>
        </w:trPr>
        <w:tc>
          <w:tcPr>
            <w:tcW w:w="14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3105" w:type="dxa"/>
            <w:tcBorders>
              <w:top w:val="nil"/>
              <w:left w:val="nil"/>
              <w:bottom w:val="single" w:sz="4" w:space="0" w:color="auto"/>
              <w:right w:val="single" w:sz="4" w:space="0" w:color="auto"/>
            </w:tcBorders>
            <w:shd w:val="clear" w:color="auto" w:fill="auto"/>
            <w:vAlign w:val="center"/>
          </w:tcPr>
          <w:p w:rsidR="001F6A75" w:rsidRDefault="001F6A75">
            <w:pPr>
              <w:widowControl/>
              <w:jc w:val="left"/>
              <w:rPr>
                <w:rFonts w:ascii="仿宋" w:eastAsia="仿宋" w:hAnsi="仿宋" w:cs="宋体"/>
                <w:kern w:val="0"/>
                <w:sz w:val="24"/>
              </w:rPr>
            </w:pP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 xml:space="preserve">　</w:t>
            </w:r>
          </w:p>
        </w:tc>
      </w:tr>
      <w:tr w:rsidR="001F6A75">
        <w:trPr>
          <w:trHeight w:val="624"/>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为水务管理提供服务</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好</w:t>
            </w:r>
          </w:p>
        </w:tc>
      </w:tr>
      <w:tr w:rsidR="001F6A75">
        <w:trPr>
          <w:trHeight w:val="624"/>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3105" w:type="dxa"/>
            <w:tcBorders>
              <w:top w:val="nil"/>
              <w:left w:val="nil"/>
              <w:bottom w:val="single" w:sz="4" w:space="0" w:color="auto"/>
              <w:right w:val="single" w:sz="4" w:space="0" w:color="auto"/>
            </w:tcBorders>
            <w:shd w:val="clear" w:color="auto" w:fill="auto"/>
            <w:vAlign w:val="center"/>
          </w:tcPr>
          <w:p w:rsidR="001F6A75" w:rsidRDefault="001F6A75">
            <w:pPr>
              <w:widowControl/>
              <w:jc w:val="left"/>
              <w:rPr>
                <w:rFonts w:ascii="仿宋" w:eastAsia="仿宋" w:hAnsi="仿宋" w:cs="宋体"/>
                <w:kern w:val="0"/>
                <w:sz w:val="24"/>
              </w:rPr>
            </w:pPr>
          </w:p>
        </w:tc>
        <w:tc>
          <w:tcPr>
            <w:tcW w:w="1800"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624"/>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 xml:space="preserve"> </w:t>
            </w:r>
          </w:p>
        </w:tc>
        <w:tc>
          <w:tcPr>
            <w:tcW w:w="1800"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624"/>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服务对象满意</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95%</w:t>
            </w:r>
          </w:p>
        </w:tc>
      </w:tr>
    </w:tbl>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计算机网络系统维护项目绩效指标设置情况如下：</w:t>
      </w:r>
    </w:p>
    <w:tbl>
      <w:tblPr>
        <w:tblW w:w="8946" w:type="dxa"/>
        <w:tblInd w:w="93" w:type="dxa"/>
        <w:tblLayout w:type="fixed"/>
        <w:tblLook w:val="04A0" w:firstRow="1" w:lastRow="0" w:firstColumn="1" w:lastColumn="0" w:noHBand="0" w:noVBand="1"/>
      </w:tblPr>
      <w:tblGrid>
        <w:gridCol w:w="1461"/>
        <w:gridCol w:w="2565"/>
        <w:gridCol w:w="3105"/>
        <w:gridCol w:w="1815"/>
      </w:tblGrid>
      <w:tr w:rsidR="001F6A75">
        <w:trPr>
          <w:trHeight w:val="480"/>
          <w:tblHeader/>
        </w:trPr>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一级指标</w:t>
            </w:r>
          </w:p>
        </w:tc>
        <w:tc>
          <w:tcPr>
            <w:tcW w:w="256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二级指标</w:t>
            </w:r>
          </w:p>
        </w:tc>
        <w:tc>
          <w:tcPr>
            <w:tcW w:w="310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指标内容</w:t>
            </w:r>
          </w:p>
        </w:tc>
        <w:tc>
          <w:tcPr>
            <w:tcW w:w="181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指标值</w:t>
            </w:r>
          </w:p>
        </w:tc>
      </w:tr>
      <w:tr w:rsidR="001F6A75">
        <w:trPr>
          <w:trHeight w:val="559"/>
        </w:trPr>
        <w:tc>
          <w:tcPr>
            <w:tcW w:w="1461" w:type="dxa"/>
            <w:vMerge w:val="restart"/>
            <w:tcBorders>
              <w:top w:val="nil"/>
              <w:left w:val="single" w:sz="4" w:space="0" w:color="auto"/>
              <w:bottom w:val="nil"/>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3105" w:type="dxa"/>
            <w:tcBorders>
              <w:top w:val="nil"/>
              <w:left w:val="nil"/>
              <w:bottom w:val="single" w:sz="4" w:space="0" w:color="auto"/>
              <w:right w:val="single" w:sz="4" w:space="0" w:color="auto"/>
            </w:tcBorders>
            <w:shd w:val="clear" w:color="auto" w:fill="auto"/>
            <w:vAlign w:val="center"/>
          </w:tcPr>
          <w:p w:rsidR="001F6A75" w:rsidRDefault="001F6A75">
            <w:pPr>
              <w:widowControl/>
              <w:jc w:val="left"/>
              <w:rPr>
                <w:rFonts w:ascii="仿宋" w:eastAsia="仿宋" w:hAnsi="仿宋" w:cs="宋体"/>
                <w:kern w:val="0"/>
                <w:sz w:val="24"/>
              </w:rPr>
            </w:pPr>
          </w:p>
        </w:tc>
        <w:tc>
          <w:tcPr>
            <w:tcW w:w="1815"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480"/>
        </w:trPr>
        <w:tc>
          <w:tcPr>
            <w:tcW w:w="1461" w:type="dxa"/>
            <w:vMerge/>
            <w:tcBorders>
              <w:top w:val="nil"/>
              <w:left w:val="single" w:sz="4" w:space="0" w:color="auto"/>
              <w:bottom w:val="nil"/>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安全运行</w:t>
            </w:r>
          </w:p>
        </w:tc>
        <w:tc>
          <w:tcPr>
            <w:tcW w:w="181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合格</w:t>
            </w:r>
          </w:p>
        </w:tc>
      </w:tr>
      <w:tr w:rsidR="001F6A75">
        <w:trPr>
          <w:trHeight w:val="480"/>
        </w:trPr>
        <w:tc>
          <w:tcPr>
            <w:tcW w:w="1461" w:type="dxa"/>
            <w:vMerge/>
            <w:tcBorders>
              <w:top w:val="nil"/>
              <w:left w:val="single" w:sz="4" w:space="0" w:color="auto"/>
              <w:bottom w:val="nil"/>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当年度</w:t>
            </w:r>
          </w:p>
        </w:tc>
        <w:tc>
          <w:tcPr>
            <w:tcW w:w="181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当年度</w:t>
            </w:r>
          </w:p>
        </w:tc>
      </w:tr>
      <w:tr w:rsidR="001F6A75">
        <w:trPr>
          <w:trHeight w:val="480"/>
        </w:trPr>
        <w:tc>
          <w:tcPr>
            <w:tcW w:w="1461" w:type="dxa"/>
            <w:vMerge/>
            <w:tcBorders>
              <w:top w:val="nil"/>
              <w:left w:val="single" w:sz="4" w:space="0" w:color="auto"/>
              <w:bottom w:val="nil"/>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成本指标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控制在预算内</w:t>
            </w:r>
          </w:p>
        </w:tc>
        <w:tc>
          <w:tcPr>
            <w:tcW w:w="181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72.62万元</w:t>
            </w:r>
          </w:p>
        </w:tc>
      </w:tr>
      <w:tr w:rsidR="001F6A75">
        <w:trPr>
          <w:trHeight w:val="555"/>
        </w:trPr>
        <w:tc>
          <w:tcPr>
            <w:tcW w:w="14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无</w:t>
            </w:r>
          </w:p>
        </w:tc>
        <w:tc>
          <w:tcPr>
            <w:tcW w:w="181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 xml:space="preserve">　</w:t>
            </w:r>
          </w:p>
        </w:tc>
      </w:tr>
      <w:tr w:rsidR="001F6A75">
        <w:trPr>
          <w:trHeight w:val="585"/>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为水务管理提供服务</w:t>
            </w:r>
          </w:p>
        </w:tc>
        <w:tc>
          <w:tcPr>
            <w:tcW w:w="181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好</w:t>
            </w:r>
          </w:p>
        </w:tc>
      </w:tr>
      <w:tr w:rsidR="001F6A75">
        <w:trPr>
          <w:trHeight w:val="480"/>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无</w:t>
            </w:r>
          </w:p>
        </w:tc>
        <w:tc>
          <w:tcPr>
            <w:tcW w:w="1815"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585"/>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无</w:t>
            </w:r>
          </w:p>
        </w:tc>
        <w:tc>
          <w:tcPr>
            <w:tcW w:w="1815"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675"/>
        </w:trPr>
        <w:tc>
          <w:tcPr>
            <w:tcW w:w="1461" w:type="dxa"/>
            <w:vMerge/>
            <w:tcBorders>
              <w:top w:val="single" w:sz="4" w:space="0" w:color="auto"/>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6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3105"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服务对象满意</w:t>
            </w:r>
          </w:p>
        </w:tc>
        <w:tc>
          <w:tcPr>
            <w:tcW w:w="181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95%</w:t>
            </w:r>
          </w:p>
        </w:tc>
      </w:tr>
    </w:tbl>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排水信息维护管理项目绩效指标设置情况如下：</w:t>
      </w:r>
    </w:p>
    <w:tbl>
      <w:tblPr>
        <w:tblW w:w="8931" w:type="dxa"/>
        <w:tblInd w:w="93" w:type="dxa"/>
        <w:tblLayout w:type="fixed"/>
        <w:tblLook w:val="04A0" w:firstRow="1" w:lastRow="0" w:firstColumn="1" w:lastColumn="0" w:noHBand="0" w:noVBand="1"/>
      </w:tblPr>
      <w:tblGrid>
        <w:gridCol w:w="1446"/>
        <w:gridCol w:w="2595"/>
        <w:gridCol w:w="3090"/>
        <w:gridCol w:w="1800"/>
      </w:tblGrid>
      <w:tr w:rsidR="001F6A75">
        <w:trPr>
          <w:trHeight w:val="480"/>
          <w:tblHeader/>
        </w:trPr>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一级指标</w:t>
            </w:r>
          </w:p>
        </w:tc>
        <w:tc>
          <w:tcPr>
            <w:tcW w:w="259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二级指标</w:t>
            </w:r>
          </w:p>
        </w:tc>
        <w:tc>
          <w:tcPr>
            <w:tcW w:w="3090"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指标内容</w:t>
            </w:r>
          </w:p>
        </w:tc>
        <w:tc>
          <w:tcPr>
            <w:tcW w:w="1800"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指标值</w:t>
            </w:r>
          </w:p>
        </w:tc>
      </w:tr>
      <w:tr w:rsidR="001F6A75">
        <w:trPr>
          <w:trHeight w:val="580"/>
        </w:trPr>
        <w:tc>
          <w:tcPr>
            <w:tcW w:w="1446" w:type="dxa"/>
            <w:vMerge w:val="restart"/>
            <w:tcBorders>
              <w:top w:val="nil"/>
              <w:left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3090" w:type="dxa"/>
            <w:tcBorders>
              <w:top w:val="nil"/>
              <w:left w:val="nil"/>
              <w:bottom w:val="single" w:sz="4" w:space="0" w:color="auto"/>
              <w:right w:val="single" w:sz="4" w:space="0" w:color="auto"/>
            </w:tcBorders>
            <w:shd w:val="clear" w:color="auto" w:fill="auto"/>
            <w:vAlign w:val="center"/>
          </w:tcPr>
          <w:p w:rsidR="001F6A75" w:rsidRDefault="001F6A75">
            <w:pPr>
              <w:widowControl/>
              <w:jc w:val="left"/>
              <w:rPr>
                <w:rFonts w:ascii="仿宋" w:eastAsia="仿宋" w:hAnsi="仿宋" w:cs="宋体"/>
                <w:kern w:val="0"/>
                <w:sz w:val="24"/>
              </w:rPr>
            </w:pPr>
          </w:p>
        </w:tc>
        <w:tc>
          <w:tcPr>
            <w:tcW w:w="1800"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610"/>
        </w:trPr>
        <w:tc>
          <w:tcPr>
            <w:tcW w:w="1446" w:type="dxa"/>
            <w:vMerge/>
            <w:tcBorders>
              <w:left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安全运行</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合格</w:t>
            </w:r>
          </w:p>
        </w:tc>
      </w:tr>
      <w:tr w:rsidR="001F6A75">
        <w:trPr>
          <w:trHeight w:val="585"/>
        </w:trPr>
        <w:tc>
          <w:tcPr>
            <w:tcW w:w="1446" w:type="dxa"/>
            <w:vMerge/>
            <w:tcBorders>
              <w:left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当年度</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当年度</w:t>
            </w:r>
          </w:p>
        </w:tc>
      </w:tr>
      <w:tr w:rsidR="001F6A75">
        <w:trPr>
          <w:trHeight w:val="585"/>
        </w:trPr>
        <w:tc>
          <w:tcPr>
            <w:tcW w:w="1446" w:type="dxa"/>
            <w:vMerge/>
            <w:tcBorders>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jc w:val="center"/>
              <w:rPr>
                <w:rFonts w:ascii="仿宋" w:eastAsia="仿宋" w:hAnsi="仿宋" w:cs="宋体"/>
                <w:sz w:val="24"/>
              </w:rPr>
            </w:pPr>
            <w:r>
              <w:rPr>
                <w:rFonts w:ascii="仿宋" w:eastAsia="仿宋" w:hAnsi="仿宋" w:hint="eastAsia"/>
                <w:sz w:val="24"/>
              </w:rPr>
              <w:t>成本指标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rPr>
                <w:rFonts w:ascii="仿宋" w:eastAsia="仿宋" w:hAnsi="仿宋" w:cs="宋体"/>
                <w:sz w:val="24"/>
              </w:rPr>
            </w:pPr>
            <w:r>
              <w:rPr>
                <w:rFonts w:ascii="仿宋" w:eastAsia="仿宋" w:hAnsi="仿宋" w:hint="eastAsia"/>
                <w:sz w:val="24"/>
              </w:rPr>
              <w:t>控制在预算内</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jc w:val="center"/>
              <w:rPr>
                <w:rFonts w:ascii="仿宋" w:eastAsia="仿宋" w:hAnsi="仿宋" w:cs="宋体"/>
                <w:sz w:val="24"/>
              </w:rPr>
            </w:pPr>
            <w:r>
              <w:rPr>
                <w:rFonts w:ascii="仿宋" w:eastAsia="仿宋" w:hAnsi="仿宋" w:hint="eastAsia"/>
                <w:sz w:val="24"/>
              </w:rPr>
              <w:t>350万元</w:t>
            </w:r>
          </w:p>
        </w:tc>
      </w:tr>
      <w:tr w:rsidR="001F6A75">
        <w:trPr>
          <w:trHeight w:val="600"/>
        </w:trPr>
        <w:tc>
          <w:tcPr>
            <w:tcW w:w="1446" w:type="dxa"/>
            <w:vMerge w:val="restart"/>
            <w:tcBorders>
              <w:top w:val="nil"/>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无</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 xml:space="preserve">　</w:t>
            </w:r>
          </w:p>
        </w:tc>
      </w:tr>
      <w:tr w:rsidR="001F6A75">
        <w:trPr>
          <w:trHeight w:val="615"/>
        </w:trPr>
        <w:tc>
          <w:tcPr>
            <w:tcW w:w="1446"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为水务管理提供服务</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好</w:t>
            </w:r>
          </w:p>
        </w:tc>
      </w:tr>
      <w:tr w:rsidR="001F6A75">
        <w:trPr>
          <w:trHeight w:val="480"/>
        </w:trPr>
        <w:tc>
          <w:tcPr>
            <w:tcW w:w="1446"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无</w:t>
            </w:r>
          </w:p>
        </w:tc>
        <w:tc>
          <w:tcPr>
            <w:tcW w:w="1800"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675"/>
        </w:trPr>
        <w:tc>
          <w:tcPr>
            <w:tcW w:w="1446"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无</w:t>
            </w:r>
          </w:p>
        </w:tc>
        <w:tc>
          <w:tcPr>
            <w:tcW w:w="1800"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675"/>
        </w:trPr>
        <w:tc>
          <w:tcPr>
            <w:tcW w:w="1446"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服务对象满意</w:t>
            </w:r>
          </w:p>
        </w:tc>
        <w:tc>
          <w:tcPr>
            <w:tcW w:w="1800"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95%</w:t>
            </w:r>
          </w:p>
        </w:tc>
      </w:tr>
    </w:tbl>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智慧湖泊项目绩效指标设置情况如下：</w:t>
      </w:r>
    </w:p>
    <w:tbl>
      <w:tblPr>
        <w:tblW w:w="8931" w:type="dxa"/>
        <w:tblInd w:w="93" w:type="dxa"/>
        <w:tblLayout w:type="fixed"/>
        <w:tblLook w:val="04A0" w:firstRow="1" w:lastRow="0" w:firstColumn="1" w:lastColumn="0" w:noHBand="0" w:noVBand="1"/>
      </w:tblPr>
      <w:tblGrid>
        <w:gridCol w:w="1461"/>
        <w:gridCol w:w="2595"/>
        <w:gridCol w:w="3090"/>
        <w:gridCol w:w="1785"/>
      </w:tblGrid>
      <w:tr w:rsidR="001F6A75">
        <w:trPr>
          <w:trHeight w:val="480"/>
          <w:tblHeader/>
        </w:trPr>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一级指标</w:t>
            </w:r>
          </w:p>
        </w:tc>
        <w:tc>
          <w:tcPr>
            <w:tcW w:w="259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二级指标</w:t>
            </w:r>
          </w:p>
        </w:tc>
        <w:tc>
          <w:tcPr>
            <w:tcW w:w="3090"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指标内容</w:t>
            </w:r>
          </w:p>
        </w:tc>
        <w:tc>
          <w:tcPr>
            <w:tcW w:w="1785" w:type="dxa"/>
            <w:tcBorders>
              <w:top w:val="single" w:sz="4" w:space="0" w:color="auto"/>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指标值</w:t>
            </w:r>
          </w:p>
        </w:tc>
      </w:tr>
      <w:tr w:rsidR="001F6A75">
        <w:trPr>
          <w:trHeight w:val="550"/>
        </w:trPr>
        <w:tc>
          <w:tcPr>
            <w:tcW w:w="1461" w:type="dxa"/>
            <w:vMerge w:val="restart"/>
            <w:tcBorders>
              <w:top w:val="nil"/>
              <w:left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3090" w:type="dxa"/>
            <w:tcBorders>
              <w:top w:val="nil"/>
              <w:left w:val="nil"/>
              <w:bottom w:val="single" w:sz="4" w:space="0" w:color="auto"/>
              <w:right w:val="single" w:sz="4" w:space="0" w:color="auto"/>
            </w:tcBorders>
            <w:shd w:val="clear" w:color="auto" w:fill="auto"/>
            <w:vAlign w:val="center"/>
          </w:tcPr>
          <w:p w:rsidR="001F6A75" w:rsidRDefault="001F6A75">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1F6A75" w:rsidRDefault="001F6A75">
            <w:pPr>
              <w:widowControl/>
              <w:jc w:val="center"/>
              <w:rPr>
                <w:rFonts w:ascii="仿宋" w:eastAsia="仿宋" w:hAnsi="仿宋" w:cs="宋体"/>
                <w:kern w:val="0"/>
                <w:sz w:val="24"/>
              </w:rPr>
            </w:pPr>
          </w:p>
        </w:tc>
      </w:tr>
      <w:tr w:rsidR="001F6A75">
        <w:trPr>
          <w:trHeight w:val="480"/>
        </w:trPr>
        <w:tc>
          <w:tcPr>
            <w:tcW w:w="1461" w:type="dxa"/>
            <w:vMerge/>
            <w:tcBorders>
              <w:left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安全运行</w:t>
            </w: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合格</w:t>
            </w:r>
          </w:p>
        </w:tc>
      </w:tr>
      <w:tr w:rsidR="001F6A75">
        <w:trPr>
          <w:trHeight w:val="585"/>
        </w:trPr>
        <w:tc>
          <w:tcPr>
            <w:tcW w:w="1461" w:type="dxa"/>
            <w:vMerge/>
            <w:tcBorders>
              <w:left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当年度</w:t>
            </w: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当年度</w:t>
            </w:r>
          </w:p>
        </w:tc>
      </w:tr>
      <w:tr w:rsidR="001F6A75">
        <w:trPr>
          <w:trHeight w:val="585"/>
        </w:trPr>
        <w:tc>
          <w:tcPr>
            <w:tcW w:w="1461" w:type="dxa"/>
            <w:vMerge/>
            <w:tcBorders>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jc w:val="center"/>
              <w:rPr>
                <w:rFonts w:ascii="仿宋" w:eastAsia="仿宋" w:hAnsi="仿宋" w:cs="宋体"/>
                <w:sz w:val="24"/>
              </w:rPr>
            </w:pPr>
            <w:r>
              <w:rPr>
                <w:rFonts w:ascii="仿宋" w:eastAsia="仿宋" w:hAnsi="仿宋" w:hint="eastAsia"/>
                <w:sz w:val="24"/>
              </w:rPr>
              <w:t>成本指标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rPr>
                <w:rFonts w:ascii="仿宋" w:eastAsia="仿宋" w:hAnsi="仿宋" w:cs="宋体"/>
                <w:sz w:val="24"/>
              </w:rPr>
            </w:pPr>
            <w:r>
              <w:rPr>
                <w:rFonts w:ascii="仿宋" w:eastAsia="仿宋" w:hAnsi="仿宋" w:hint="eastAsia"/>
                <w:sz w:val="24"/>
              </w:rPr>
              <w:t>控制在预算内</w:t>
            </w: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jc w:val="center"/>
              <w:rPr>
                <w:rFonts w:ascii="仿宋" w:eastAsia="仿宋" w:hAnsi="仿宋" w:cs="宋体"/>
                <w:sz w:val="24"/>
              </w:rPr>
            </w:pPr>
            <w:r>
              <w:rPr>
                <w:rFonts w:ascii="仿宋" w:eastAsia="仿宋" w:hAnsi="仿宋" w:hint="eastAsia"/>
                <w:sz w:val="24"/>
              </w:rPr>
              <w:t>350万元</w:t>
            </w:r>
          </w:p>
        </w:tc>
      </w:tr>
      <w:tr w:rsidR="001F6A75">
        <w:trPr>
          <w:trHeight w:val="600"/>
        </w:trPr>
        <w:tc>
          <w:tcPr>
            <w:tcW w:w="1461" w:type="dxa"/>
            <w:vMerge w:val="restart"/>
            <w:tcBorders>
              <w:top w:val="nil"/>
              <w:left w:val="single" w:sz="4" w:space="0" w:color="auto"/>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3090" w:type="dxa"/>
            <w:tcBorders>
              <w:top w:val="nil"/>
              <w:left w:val="nil"/>
              <w:bottom w:val="single" w:sz="4" w:space="0" w:color="auto"/>
              <w:right w:val="single" w:sz="4" w:space="0" w:color="auto"/>
            </w:tcBorders>
            <w:shd w:val="clear" w:color="auto" w:fill="auto"/>
            <w:vAlign w:val="center"/>
          </w:tcPr>
          <w:p w:rsidR="001F6A75" w:rsidRDefault="001F6A75">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 xml:space="preserve">　</w:t>
            </w:r>
          </w:p>
        </w:tc>
      </w:tr>
      <w:tr w:rsidR="001F6A75">
        <w:trPr>
          <w:trHeight w:val="615"/>
        </w:trPr>
        <w:tc>
          <w:tcPr>
            <w:tcW w:w="1461"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为水务管理提供服务</w:t>
            </w: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好</w:t>
            </w:r>
          </w:p>
        </w:tc>
      </w:tr>
      <w:tr w:rsidR="001F6A75">
        <w:trPr>
          <w:trHeight w:val="480"/>
        </w:trPr>
        <w:tc>
          <w:tcPr>
            <w:tcW w:w="1461"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有助于湖泊管理</w:t>
            </w: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良好</w:t>
            </w:r>
          </w:p>
        </w:tc>
      </w:tr>
      <w:tr w:rsidR="001F6A75">
        <w:trPr>
          <w:trHeight w:val="675"/>
        </w:trPr>
        <w:tc>
          <w:tcPr>
            <w:tcW w:w="1461"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支持可持续</w:t>
            </w: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可持续</w:t>
            </w:r>
          </w:p>
        </w:tc>
      </w:tr>
      <w:tr w:rsidR="001F6A75">
        <w:trPr>
          <w:trHeight w:val="675"/>
        </w:trPr>
        <w:tc>
          <w:tcPr>
            <w:tcW w:w="1461" w:type="dxa"/>
            <w:vMerge/>
            <w:tcBorders>
              <w:top w:val="nil"/>
              <w:left w:val="single" w:sz="4" w:space="0" w:color="auto"/>
              <w:bottom w:val="single" w:sz="4" w:space="0" w:color="auto"/>
              <w:right w:val="single" w:sz="4" w:space="0" w:color="auto"/>
            </w:tcBorders>
            <w:vAlign w:val="center"/>
          </w:tcPr>
          <w:p w:rsidR="001F6A75" w:rsidRDefault="001F6A75">
            <w:pPr>
              <w:widowControl/>
              <w:jc w:val="left"/>
              <w:rPr>
                <w:rFonts w:ascii="仿宋" w:eastAsia="仿宋" w:hAnsi="仿宋" w:cs="宋体"/>
                <w:kern w:val="0"/>
                <w:sz w:val="24"/>
              </w:rPr>
            </w:pPr>
          </w:p>
        </w:tc>
        <w:tc>
          <w:tcPr>
            <w:tcW w:w="259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3090" w:type="dxa"/>
            <w:tcBorders>
              <w:top w:val="nil"/>
              <w:left w:val="nil"/>
              <w:bottom w:val="single" w:sz="4" w:space="0" w:color="auto"/>
              <w:right w:val="single" w:sz="4" w:space="0" w:color="auto"/>
            </w:tcBorders>
            <w:shd w:val="clear" w:color="auto" w:fill="auto"/>
            <w:vAlign w:val="center"/>
          </w:tcPr>
          <w:p w:rsidR="001F6A75" w:rsidRDefault="00713EBA">
            <w:pPr>
              <w:widowControl/>
              <w:jc w:val="left"/>
              <w:rPr>
                <w:rFonts w:ascii="仿宋" w:eastAsia="仿宋" w:hAnsi="仿宋" w:cs="宋体"/>
                <w:kern w:val="0"/>
                <w:sz w:val="24"/>
              </w:rPr>
            </w:pPr>
            <w:r>
              <w:rPr>
                <w:rFonts w:ascii="仿宋" w:eastAsia="仿宋" w:hAnsi="仿宋" w:cs="宋体" w:hint="eastAsia"/>
                <w:kern w:val="0"/>
                <w:sz w:val="24"/>
              </w:rPr>
              <w:t>服务对象满意</w:t>
            </w:r>
          </w:p>
        </w:tc>
        <w:tc>
          <w:tcPr>
            <w:tcW w:w="1785" w:type="dxa"/>
            <w:tcBorders>
              <w:top w:val="nil"/>
              <w:left w:val="nil"/>
              <w:bottom w:val="single" w:sz="4" w:space="0" w:color="auto"/>
              <w:right w:val="single" w:sz="4" w:space="0" w:color="auto"/>
            </w:tcBorders>
            <w:shd w:val="clear" w:color="auto" w:fill="auto"/>
            <w:vAlign w:val="center"/>
          </w:tcPr>
          <w:p w:rsidR="001F6A75" w:rsidRDefault="00713EBA">
            <w:pPr>
              <w:widowControl/>
              <w:jc w:val="center"/>
              <w:rPr>
                <w:rFonts w:ascii="仿宋" w:eastAsia="仿宋" w:hAnsi="仿宋" w:cs="宋体"/>
                <w:kern w:val="0"/>
                <w:sz w:val="24"/>
              </w:rPr>
            </w:pPr>
            <w:r>
              <w:rPr>
                <w:rFonts w:ascii="仿宋" w:eastAsia="仿宋" w:hAnsi="仿宋" w:cs="宋体" w:hint="eastAsia"/>
                <w:kern w:val="0"/>
                <w:sz w:val="24"/>
              </w:rPr>
              <w:t>95%</w:t>
            </w:r>
          </w:p>
        </w:tc>
      </w:tr>
    </w:tbl>
    <w:p w:rsidR="001F6A75" w:rsidRDefault="00713EBA">
      <w:pPr>
        <w:spacing w:line="520" w:lineRule="exact"/>
        <w:ind w:firstLineChars="200" w:firstLine="560"/>
        <w:outlineLvl w:val="1"/>
        <w:rPr>
          <w:rFonts w:ascii="仿宋" w:eastAsia="仿宋" w:hAnsi="仿宋"/>
          <w:bCs/>
          <w:sz w:val="28"/>
          <w:szCs w:val="28"/>
        </w:rPr>
      </w:pPr>
      <w:bookmarkStart w:id="6" w:name="_Toc517708012"/>
      <w:r>
        <w:rPr>
          <w:rFonts w:ascii="仿宋" w:eastAsia="仿宋" w:hAnsi="仿宋" w:hint="eastAsia"/>
          <w:bCs/>
          <w:sz w:val="28"/>
          <w:szCs w:val="28"/>
        </w:rPr>
        <w:t>（三）经费来源及支出情况</w:t>
      </w:r>
      <w:bookmarkEnd w:id="5"/>
      <w:bookmarkEnd w:id="6"/>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项目预算投资970.62万万元，其中：一般公共预算财政拨款收入970.62万元。主要安排为：水务信息化系统维护项目368万元、计算机网络系统维护项目72.62万元、智慧湖泊建设项目350万元、排水信息维护管理项目180万元。</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 xml:space="preserve">截止2017年12月31日，预算项目支出762.32万元，其中：水务信息化系统维护项目368万元、计算机网络系统维护项目72.62万元、智慧湖泊建设项目145.80万元、排水信息维护管理项目175.90万元。具体支出明细如下表： </w:t>
      </w:r>
    </w:p>
    <w:tbl>
      <w:tblPr>
        <w:tblW w:w="9225" w:type="dxa"/>
        <w:tblLayout w:type="fixed"/>
        <w:tblCellMar>
          <w:top w:w="15" w:type="dxa"/>
          <w:left w:w="15" w:type="dxa"/>
          <w:bottom w:w="15" w:type="dxa"/>
          <w:right w:w="15" w:type="dxa"/>
        </w:tblCellMar>
        <w:tblLook w:val="04A0" w:firstRow="1" w:lastRow="0" w:firstColumn="1" w:lastColumn="0" w:noHBand="0" w:noVBand="1"/>
      </w:tblPr>
      <w:tblGrid>
        <w:gridCol w:w="1080"/>
        <w:gridCol w:w="1651"/>
        <w:gridCol w:w="1456"/>
        <w:gridCol w:w="1681"/>
        <w:gridCol w:w="1681"/>
        <w:gridCol w:w="1676"/>
      </w:tblGrid>
      <w:tr w:rsidR="001F6A75">
        <w:trPr>
          <w:trHeight w:val="330"/>
        </w:trPr>
        <w:tc>
          <w:tcPr>
            <w:tcW w:w="1080" w:type="dxa"/>
            <w:shd w:val="clear" w:color="auto" w:fill="auto"/>
            <w:vAlign w:val="center"/>
          </w:tcPr>
          <w:p w:rsidR="001F6A75" w:rsidRDefault="001F6A75">
            <w:pPr>
              <w:rPr>
                <w:rFonts w:ascii="仿宋" w:eastAsia="仿宋" w:hAnsi="仿宋" w:cs="仿宋"/>
                <w:color w:val="000000"/>
                <w:sz w:val="22"/>
                <w:szCs w:val="22"/>
              </w:rPr>
            </w:pPr>
          </w:p>
        </w:tc>
        <w:tc>
          <w:tcPr>
            <w:tcW w:w="1651" w:type="dxa"/>
            <w:shd w:val="clear" w:color="auto" w:fill="auto"/>
            <w:vAlign w:val="center"/>
          </w:tcPr>
          <w:p w:rsidR="001F6A75" w:rsidRDefault="001F6A75">
            <w:pPr>
              <w:rPr>
                <w:rFonts w:ascii="仿宋" w:eastAsia="仿宋" w:hAnsi="仿宋" w:cs="仿宋"/>
                <w:color w:val="000000"/>
                <w:sz w:val="22"/>
                <w:szCs w:val="22"/>
              </w:rPr>
            </w:pPr>
          </w:p>
        </w:tc>
        <w:tc>
          <w:tcPr>
            <w:tcW w:w="1456" w:type="dxa"/>
            <w:shd w:val="clear" w:color="auto" w:fill="auto"/>
            <w:vAlign w:val="center"/>
          </w:tcPr>
          <w:p w:rsidR="001F6A75" w:rsidRDefault="001F6A75">
            <w:pPr>
              <w:rPr>
                <w:rFonts w:ascii="仿宋" w:eastAsia="仿宋" w:hAnsi="仿宋" w:cs="仿宋"/>
                <w:color w:val="000000"/>
                <w:sz w:val="22"/>
                <w:szCs w:val="22"/>
              </w:rPr>
            </w:pPr>
          </w:p>
        </w:tc>
        <w:tc>
          <w:tcPr>
            <w:tcW w:w="1681" w:type="dxa"/>
            <w:shd w:val="clear" w:color="auto" w:fill="auto"/>
            <w:vAlign w:val="center"/>
          </w:tcPr>
          <w:p w:rsidR="001F6A75" w:rsidRDefault="001F6A75">
            <w:pPr>
              <w:rPr>
                <w:rFonts w:ascii="仿宋" w:eastAsia="仿宋" w:hAnsi="仿宋" w:cs="仿宋"/>
                <w:color w:val="000000"/>
                <w:sz w:val="22"/>
                <w:szCs w:val="22"/>
              </w:rPr>
            </w:pPr>
          </w:p>
        </w:tc>
        <w:tc>
          <w:tcPr>
            <w:tcW w:w="1681" w:type="dxa"/>
            <w:shd w:val="clear" w:color="auto" w:fill="auto"/>
            <w:vAlign w:val="center"/>
          </w:tcPr>
          <w:p w:rsidR="001F6A75" w:rsidRDefault="001F6A75">
            <w:pPr>
              <w:rPr>
                <w:rFonts w:ascii="仿宋" w:eastAsia="仿宋" w:hAnsi="仿宋" w:cs="仿宋"/>
                <w:color w:val="000000"/>
                <w:sz w:val="22"/>
                <w:szCs w:val="22"/>
              </w:rPr>
            </w:pPr>
          </w:p>
        </w:tc>
        <w:tc>
          <w:tcPr>
            <w:tcW w:w="1676" w:type="dxa"/>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单位：元</w:t>
            </w:r>
          </w:p>
        </w:tc>
      </w:tr>
      <w:tr w:rsidR="001F6A75">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lastRenderedPageBreak/>
              <w:t>序号</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经济科目名称</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计算机网络系统维护</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智慧湖泊建设</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水务信息化系统维护</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排水信息维护管理</w:t>
            </w: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电费</w:t>
            </w:r>
          </w:p>
        </w:tc>
        <w:tc>
          <w:tcPr>
            <w:tcW w:w="14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83,325.25 </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51,874.75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物业管理费</w:t>
            </w:r>
          </w:p>
        </w:tc>
        <w:tc>
          <w:tcPr>
            <w:tcW w:w="14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1F6A75">
            <w:pPr>
              <w:jc w:val="center"/>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58,574.75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维修（护）费</w:t>
            </w:r>
          </w:p>
        </w:tc>
        <w:tc>
          <w:tcPr>
            <w:tcW w:w="14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642,874.75 </w:t>
            </w:r>
          </w:p>
        </w:tc>
        <w:tc>
          <w:tcPr>
            <w:tcW w:w="16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408,547.00 </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3,198,632.23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1,759,000.00 </w:t>
            </w: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差旅费</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1,812.00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劳务费</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99,911.13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专用设备购置</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220,946.14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其他商品和服务支出</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48,249.00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r>
      <w:tr w:rsidR="001F6A7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16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信息网络及软件购置更新</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c>
          <w:tcPr>
            <w:tcW w:w="16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1,049,500.00 </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center"/>
              <w:rPr>
                <w:rFonts w:ascii="仿宋" w:eastAsia="仿宋" w:hAnsi="仿宋" w:cs="仿宋"/>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1F6A75">
            <w:pPr>
              <w:jc w:val="left"/>
              <w:rPr>
                <w:rFonts w:ascii="仿宋" w:eastAsia="仿宋" w:hAnsi="仿宋" w:cs="仿宋"/>
                <w:color w:val="000000"/>
                <w:sz w:val="20"/>
                <w:szCs w:val="20"/>
              </w:rPr>
            </w:pPr>
          </w:p>
        </w:tc>
      </w:tr>
      <w:tr w:rsidR="001F6A75">
        <w:trPr>
          <w:trHeight w:val="435"/>
        </w:trPr>
        <w:tc>
          <w:tcPr>
            <w:tcW w:w="2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合计</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726,200.00 </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1,458,047.00</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3,680,000.00 </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1,759,000.00 </w:t>
            </w:r>
          </w:p>
        </w:tc>
      </w:tr>
    </w:tbl>
    <w:p w:rsidR="001F6A75" w:rsidRDefault="001F6A75">
      <w:pPr>
        <w:spacing w:line="520" w:lineRule="exact"/>
        <w:ind w:firstLineChars="200" w:firstLine="560"/>
        <w:rPr>
          <w:rFonts w:ascii="仿宋" w:eastAsia="仿宋" w:hAnsi="仿宋"/>
          <w:bCs/>
          <w:sz w:val="28"/>
          <w:szCs w:val="28"/>
        </w:rPr>
      </w:pPr>
    </w:p>
    <w:p w:rsidR="001F6A75" w:rsidRDefault="00713EBA">
      <w:pPr>
        <w:spacing w:line="520" w:lineRule="exact"/>
        <w:ind w:firstLineChars="200" w:firstLine="562"/>
        <w:outlineLvl w:val="0"/>
        <w:rPr>
          <w:rFonts w:ascii="黑体" w:eastAsia="黑体" w:hAnsi="黑体" w:cs="黑体"/>
          <w:b/>
          <w:bCs/>
          <w:sz w:val="28"/>
          <w:szCs w:val="28"/>
        </w:rPr>
      </w:pPr>
      <w:bookmarkStart w:id="7" w:name="_Toc517708013"/>
      <w:bookmarkStart w:id="8" w:name="_Toc511502532"/>
      <w:bookmarkStart w:id="9" w:name="_Toc7334"/>
      <w:r>
        <w:rPr>
          <w:rFonts w:ascii="黑体" w:eastAsia="黑体" w:hAnsi="黑体" w:cs="黑体" w:hint="eastAsia"/>
          <w:b/>
          <w:bCs/>
          <w:sz w:val="28"/>
          <w:szCs w:val="28"/>
        </w:rPr>
        <w:t>二、绩效评价工作情况</w:t>
      </w:r>
      <w:bookmarkEnd w:id="7"/>
      <w:bookmarkEnd w:id="8"/>
      <w:bookmarkEnd w:id="9"/>
    </w:p>
    <w:p w:rsidR="001F6A75" w:rsidRDefault="00713EBA">
      <w:pPr>
        <w:spacing w:line="560" w:lineRule="exact"/>
        <w:ind w:firstLineChars="200" w:firstLine="560"/>
        <w:outlineLvl w:val="1"/>
        <w:rPr>
          <w:rFonts w:ascii="仿宋" w:eastAsia="仿宋" w:hAnsi="仿宋"/>
          <w:sz w:val="28"/>
          <w:szCs w:val="28"/>
        </w:rPr>
      </w:pPr>
      <w:bookmarkStart w:id="10" w:name="_Toc517708014"/>
      <w:bookmarkStart w:id="11" w:name="_Toc511502533"/>
      <w:bookmarkStart w:id="12" w:name="_Toc19011"/>
      <w:r>
        <w:rPr>
          <w:rFonts w:ascii="仿宋" w:eastAsia="仿宋" w:hAnsi="仿宋" w:hint="eastAsia"/>
          <w:sz w:val="28"/>
          <w:szCs w:val="28"/>
        </w:rPr>
        <w:t>（一）绩效评价目的</w:t>
      </w:r>
      <w:bookmarkEnd w:id="10"/>
      <w:bookmarkEnd w:id="11"/>
      <w:bookmarkEnd w:id="12"/>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通过绩效评价，形成真实完整、数据准确、分析透彻、逻辑清晰、客观公正的绩效评价结论，为后期武汉市水务局强化预算绩效管理提供重要依据。通过绩效评价，从效率的角度分析，准确掌握</w:t>
      </w:r>
      <w:r>
        <w:rPr>
          <w:rFonts w:ascii="仿宋" w:eastAsia="仿宋" w:hAnsi="仿宋" w:hint="eastAsia"/>
          <w:bCs/>
          <w:sz w:val="28"/>
          <w:szCs w:val="28"/>
        </w:rPr>
        <w:t>项目</w:t>
      </w:r>
      <w:r>
        <w:rPr>
          <w:rFonts w:ascii="仿宋" w:eastAsia="仿宋" w:hAnsi="仿宋" w:hint="eastAsia"/>
          <w:sz w:val="28"/>
          <w:szCs w:val="28"/>
        </w:rPr>
        <w:t>的实施情况、资金使用情况，发现项目实施的困难和问题，总结项目实施的经验和教训，为项目实施的进一步深化提供有益帮助。</w:t>
      </w:r>
    </w:p>
    <w:p w:rsidR="001F6A75" w:rsidRDefault="00713EBA">
      <w:pPr>
        <w:spacing w:line="520" w:lineRule="exact"/>
        <w:ind w:firstLineChars="200" w:firstLine="560"/>
        <w:outlineLvl w:val="1"/>
        <w:rPr>
          <w:rFonts w:ascii="仿宋" w:eastAsia="仿宋" w:hAnsi="仿宋"/>
          <w:sz w:val="28"/>
          <w:szCs w:val="28"/>
        </w:rPr>
      </w:pPr>
      <w:bookmarkStart w:id="13" w:name="_Toc30201"/>
      <w:bookmarkStart w:id="14" w:name="_Toc511502534"/>
      <w:bookmarkStart w:id="15" w:name="_Toc517708015"/>
      <w:r>
        <w:rPr>
          <w:rFonts w:ascii="仿宋" w:eastAsia="仿宋" w:hAnsi="仿宋" w:hint="eastAsia"/>
          <w:sz w:val="28"/>
          <w:szCs w:val="28"/>
        </w:rPr>
        <w:t>（二）绩效评价框架</w:t>
      </w:r>
      <w:bookmarkEnd w:id="13"/>
      <w:bookmarkEnd w:id="14"/>
      <w:bookmarkEnd w:id="15"/>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绩效评价框架是开展绩效评价的核心，绩效评价框架包括各级指标名称、权重、指标解释、指标说明、目标值、绩效标准和评分细则等方面。</w:t>
      </w:r>
      <w:r>
        <w:rPr>
          <w:rFonts w:ascii="仿宋" w:eastAsia="仿宋" w:hAnsi="仿宋" w:hint="eastAsia"/>
          <w:bCs/>
          <w:sz w:val="28"/>
          <w:szCs w:val="28"/>
        </w:rPr>
        <w:t>项目</w:t>
      </w:r>
      <w:r>
        <w:rPr>
          <w:rFonts w:ascii="仿宋" w:eastAsia="仿宋" w:hAnsi="仿宋" w:hint="eastAsia"/>
          <w:sz w:val="28"/>
          <w:szCs w:val="28"/>
        </w:rPr>
        <w:t>绩效评价指标体系的设计参照《湖北省财政支出绩效评价指标体系框架》，投入和过程在此框架的基础上结合项目的特点适当进行完善，产出和效果根据项目特点进行了细化。</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1.评价指标</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lastRenderedPageBreak/>
        <w:t>第一步，采用层次分析法，建立评价指标库。绩效评价将指标分为投入、过程、产出和效果四个层次，最终形成一个由多个相互联系的指标组成的多层次指标体系。</w:t>
      </w:r>
      <w:r>
        <w:rPr>
          <w:rFonts w:ascii="仿宋" w:eastAsia="仿宋" w:hAnsi="仿宋"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type w14:anchorId="437D9B4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8" o:spid="_x0000_s1026" type="#_x0000_t87" style="position:absolute;left:0;text-align:left;margin-left:-267.75pt;margin-top:12pt;width:6pt;height:3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" adj=",11150"/>
            </w:pict>
          </mc:Fallback>
        </mc:AlternateContent>
      </w:r>
      <w:r>
        <w:rPr>
          <w:rFonts w:ascii="仿宋" w:eastAsia="仿宋" w:hAnsi="仿宋" w:hint="eastAsia"/>
          <w:sz w:val="28"/>
          <w:szCs w:val="28"/>
        </w:rPr>
        <w:t>第二步，采用专家调查法，确定评价指标。评价指标体系建立后，邀请专家对指标库中的指标进行分析、权衡、补充、选择，最后确定评价指标。在此基础上最终形成项目绩效评价指标体系，设置了4个一级指标、10个二级指标、20个三级指标。</w:t>
      </w:r>
    </w:p>
    <w:p w:rsidR="001F6A75" w:rsidRDefault="00713EBA">
      <w:pPr>
        <w:tabs>
          <w:tab w:val="center" w:pos="4549"/>
        </w:tabs>
        <w:spacing w:line="360" w:lineRule="auto"/>
        <w:ind w:firstLineChars="250" w:firstLine="700"/>
        <w:jc w:val="left"/>
        <w:rPr>
          <w:rFonts w:ascii="仿宋" w:eastAsia="仿宋" w:hAnsi="仿宋"/>
          <w:sz w:val="28"/>
          <w:szCs w:val="28"/>
        </w:rPr>
      </w:pPr>
      <w:r>
        <w:rPr>
          <w:rFonts w:ascii="宋体" w:hAnsi="宋体" w:hint="eastAsia"/>
          <w:sz w:val="28"/>
          <w:szCs w:val="28"/>
        </w:rPr>
        <w:t>2.</w:t>
      </w:r>
      <w:r>
        <w:rPr>
          <w:rFonts w:ascii="仿宋" w:eastAsia="仿宋" w:hAnsi="仿宋" w:hint="eastAsia"/>
          <w:sz w:val="28"/>
          <w:szCs w:val="28"/>
        </w:rPr>
        <w:t>权重</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根据本项目特点及各指标维度、类别考评内容，采用德尔菲法进行权重估计，并参考了评价领导小组及项目实施单位的意见，最终确定各个指标相对于项目总体绩效的权重分值。最终确的项目投入权重为12%，项目过程权重值占28%，项目产出权重值占40%，项目效益权重值占20%。</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3.指标说明</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bCs/>
          <w:sz w:val="28"/>
          <w:szCs w:val="28"/>
        </w:rPr>
        <w:t>项目</w:t>
      </w:r>
      <w:r>
        <w:rPr>
          <w:rFonts w:ascii="仿宋" w:eastAsia="仿宋" w:hAnsi="仿宋" w:hint="eastAsia"/>
          <w:sz w:val="28"/>
          <w:szCs w:val="28"/>
        </w:rPr>
        <w:t>绩效评价指标体系指标说明确定了三级指标评分的要点，指出定性指标的评价核心，定量指标的指标实现值的计算公式、数据口径，说明了20个三级指标设置的目的，指导三级指标评价的方向。</w:t>
      </w:r>
    </w:p>
    <w:p w:rsidR="001F6A75" w:rsidRDefault="00713EBA">
      <w:pPr>
        <w:spacing w:line="520" w:lineRule="exact"/>
        <w:ind w:firstLineChars="200" w:firstLine="560"/>
        <w:rPr>
          <w:rFonts w:ascii="仿宋" w:eastAsia="仿宋" w:hAnsi="仿宋"/>
          <w:sz w:val="28"/>
          <w:szCs w:val="28"/>
        </w:rPr>
      </w:pPr>
      <w:bookmarkStart w:id="16" w:name="_1460038730"/>
      <w:bookmarkStart w:id="17" w:name="_1460181815"/>
      <w:bookmarkStart w:id="18" w:name="_1460038655"/>
      <w:bookmarkStart w:id="19" w:name="_1460038714"/>
      <w:bookmarkStart w:id="20" w:name="_1460038687"/>
      <w:bookmarkStart w:id="21" w:name="_1460038659"/>
      <w:bookmarkEnd w:id="16"/>
      <w:bookmarkEnd w:id="17"/>
      <w:bookmarkEnd w:id="18"/>
      <w:bookmarkEnd w:id="19"/>
      <w:bookmarkEnd w:id="20"/>
      <w:bookmarkEnd w:id="21"/>
      <w:r>
        <w:rPr>
          <w:rFonts w:ascii="仿宋" w:eastAsia="仿宋" w:hAnsi="仿宋" w:hint="eastAsia"/>
          <w:sz w:val="28"/>
          <w:szCs w:val="28"/>
        </w:rPr>
        <w:t>4.指标目标值</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指标目标值是绩效评价指标的尺度，既要反映同类项目的先进水平，又要符合项目的实际绩效水平。</w:t>
      </w:r>
      <w:r>
        <w:rPr>
          <w:rFonts w:ascii="仿宋" w:eastAsia="仿宋" w:hAnsi="仿宋" w:hint="eastAsia"/>
          <w:bCs/>
          <w:sz w:val="28"/>
          <w:szCs w:val="28"/>
        </w:rPr>
        <w:t>项目</w:t>
      </w:r>
      <w:r>
        <w:rPr>
          <w:rFonts w:ascii="仿宋" w:eastAsia="仿宋" w:hAnsi="仿宋" w:hint="eastAsia"/>
          <w:sz w:val="28"/>
          <w:szCs w:val="28"/>
        </w:rPr>
        <w:t>绩效评价指标目标值以项目计划目标确定。</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5.绩效标准</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财政项目资金绩效评价，是以结果为导向的财政支出管理模式，绩效评价标准主要有计划标准、行业标准、历史标准、其他标准等，结合项目的特点，确定此次绩效评价指标标准为行业标准和计划标</w:t>
      </w:r>
      <w:r>
        <w:rPr>
          <w:rFonts w:ascii="仿宋" w:eastAsia="仿宋" w:hAnsi="仿宋" w:hint="eastAsia"/>
          <w:sz w:val="28"/>
          <w:szCs w:val="28"/>
        </w:rPr>
        <w:lastRenderedPageBreak/>
        <w:t>准。项目管理和财务管理采用国家财务相关法律法规，产出和效果指标采用计划指标值作为绩效评价标准。</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6.评分细则</w:t>
      </w:r>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bCs/>
          <w:sz w:val="28"/>
          <w:szCs w:val="28"/>
        </w:rPr>
        <w:t>项目</w:t>
      </w:r>
      <w:r>
        <w:rPr>
          <w:rFonts w:ascii="仿宋" w:eastAsia="仿宋" w:hAnsi="仿宋" w:hint="eastAsia"/>
          <w:sz w:val="28"/>
          <w:szCs w:val="28"/>
        </w:rPr>
        <w:t>绩效评价指标体系中三级指标评分是在指标说明评分要点的基础上进行的，定性指标对评分要点分段量化得分，定量指标按量化量直接评分。通过项目实施单位项目档案、财务资料进行检查，结合问卷调查和实地考察情况，项目组对项目的实施进展情况对每个指标进行独立评价和打分，在此基础上形成项目的整体得分。</w:t>
      </w:r>
    </w:p>
    <w:p w:rsidR="00710833" w:rsidRDefault="00713EBA" w:rsidP="00710833">
      <w:pPr>
        <w:spacing w:line="520" w:lineRule="exact"/>
        <w:ind w:firstLineChars="200" w:firstLine="560"/>
        <w:rPr>
          <w:rFonts w:ascii="仿宋" w:eastAsia="仿宋" w:hAnsi="仿宋"/>
          <w:sz w:val="28"/>
          <w:szCs w:val="28"/>
        </w:rPr>
      </w:pPr>
      <w:r>
        <w:rPr>
          <w:rFonts w:ascii="仿宋" w:eastAsia="仿宋" w:hAnsi="仿宋" w:hint="eastAsia"/>
          <w:sz w:val="28"/>
          <w:szCs w:val="28"/>
        </w:rPr>
        <w:t>根据《湖北省财政项目资金绩效评价操作指南》中财政项目绩效评价结果级别评定相关要求，绩效评价总分值100分，根据综合评分结果，90分以上的为优秀、80-90分为良好，60-80分为中等，60分以下为差。</w:t>
      </w:r>
    </w:p>
    <w:p w:rsidR="001F6A75" w:rsidRDefault="00713EBA" w:rsidP="00710833">
      <w:pPr>
        <w:spacing w:line="520" w:lineRule="exact"/>
        <w:outlineLvl w:val="0"/>
        <w:rPr>
          <w:rFonts w:ascii="黑体" w:eastAsia="黑体" w:hAnsi="黑体" w:cs="黑体"/>
          <w:sz w:val="28"/>
          <w:szCs w:val="28"/>
        </w:rPr>
      </w:pPr>
      <w:bookmarkStart w:id="22" w:name="_Toc511502536"/>
      <w:bookmarkStart w:id="23" w:name="_Toc517708016"/>
      <w:r>
        <w:rPr>
          <w:rFonts w:ascii="黑体" w:eastAsia="黑体" w:hAnsi="黑体" w:cs="黑体" w:hint="eastAsia"/>
          <w:sz w:val="28"/>
          <w:szCs w:val="28"/>
        </w:rPr>
        <w:t>三、绩效分析及评价结论</w:t>
      </w:r>
      <w:bookmarkEnd w:id="22"/>
      <w:bookmarkEnd w:id="23"/>
    </w:p>
    <w:p w:rsidR="001F6A75" w:rsidRDefault="00713EBA">
      <w:pPr>
        <w:spacing w:line="520" w:lineRule="exact"/>
        <w:ind w:firstLineChars="200" w:firstLine="560"/>
        <w:outlineLvl w:val="1"/>
        <w:rPr>
          <w:rFonts w:ascii="仿宋" w:eastAsia="仿宋" w:hAnsi="仿宋"/>
          <w:sz w:val="28"/>
          <w:szCs w:val="28"/>
        </w:rPr>
      </w:pPr>
      <w:bookmarkStart w:id="24" w:name="_Toc8923"/>
      <w:bookmarkStart w:id="25" w:name="_Toc511502539"/>
      <w:bookmarkStart w:id="26" w:name="_Toc517708017"/>
      <w:r>
        <w:rPr>
          <w:rFonts w:ascii="仿宋" w:eastAsia="仿宋" w:hAnsi="仿宋" w:hint="eastAsia"/>
          <w:sz w:val="28"/>
          <w:szCs w:val="28"/>
        </w:rPr>
        <w:t>（一）</w:t>
      </w:r>
      <w:bookmarkEnd w:id="24"/>
      <w:r>
        <w:rPr>
          <w:rFonts w:ascii="仿宋" w:eastAsia="仿宋" w:hAnsi="仿宋" w:hint="eastAsia"/>
          <w:sz w:val="28"/>
          <w:szCs w:val="28"/>
        </w:rPr>
        <w:t>绩效分析及绩效指标完成情况</w:t>
      </w:r>
      <w:bookmarkEnd w:id="25"/>
      <w:bookmarkEnd w:id="26"/>
    </w:p>
    <w:p w:rsidR="001F6A75" w:rsidRDefault="00713EBA">
      <w:pPr>
        <w:spacing w:line="520" w:lineRule="exact"/>
        <w:outlineLvl w:val="2"/>
        <w:rPr>
          <w:rFonts w:ascii="仿宋" w:eastAsia="仿宋" w:hAnsi="仿宋"/>
          <w:bCs/>
          <w:sz w:val="28"/>
          <w:szCs w:val="28"/>
        </w:rPr>
      </w:pPr>
      <w:r>
        <w:rPr>
          <w:rFonts w:ascii="仿宋" w:eastAsia="仿宋" w:hAnsi="仿宋" w:hint="eastAsia"/>
          <w:bCs/>
          <w:sz w:val="28"/>
          <w:szCs w:val="28"/>
        </w:rPr>
        <w:t xml:space="preserve">    </w:t>
      </w:r>
      <w:bookmarkStart w:id="27" w:name="_Toc517708018"/>
      <w:r>
        <w:rPr>
          <w:rFonts w:ascii="仿宋" w:eastAsia="仿宋" w:hAnsi="仿宋" w:hint="eastAsia"/>
          <w:bCs/>
          <w:sz w:val="28"/>
          <w:szCs w:val="28"/>
        </w:rPr>
        <w:t>1.项目投入</w:t>
      </w:r>
      <w:bookmarkEnd w:id="27"/>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本项指标总分为12分，实际得分8.93分，得分率74.42%，项目投入具体评价如下：</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（1）依据充分性</w:t>
      </w:r>
    </w:p>
    <w:p w:rsidR="001F5C48"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2017年水务信息化系统维护项目、计算机网络系统维护项目、智慧湖泊建设项目及排水信息维护管理项目立项申请符合规定，立项依据充分，且项目申报的主要内容基本完整。</w:t>
      </w:r>
      <w:r w:rsidR="00710833">
        <w:rPr>
          <w:rFonts w:ascii="仿宋" w:eastAsia="仿宋" w:hAnsi="仿宋" w:hint="eastAsia"/>
          <w:bCs/>
          <w:sz w:val="28"/>
          <w:szCs w:val="28"/>
        </w:rPr>
        <w:t xml:space="preserve">   </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（2）目标合理性</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智慧湖泊建设项目的实施整合信息资源，建立湖泊综合数据库，搭建武汉市湖泊“一张图”，为湖泊执法管理及公众服务提供支撑，开发执法管理系统，与市长专线、水务110、微信、微博及手机APP等来源实施有效对接。</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排水信息维护管理项目的实施主要用于市公安局、交管局视频监控系统和专线维护巡查；排水管理系统监测维护及视频监控点修复、中心城区水位监测系统巡查维护和数据效验；防汛指挥车维护；武汉市管网数据更新、效验；管网规划、建设、维护及防汛调度分析。</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计算机网络系统维护项目主要保障整个水务局数据中心的安全稳定运行，同时为应用通讯提供稳定的通讯条件，为水务业务内网及业务外网稳定运行提供技术保障。</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水务信息化系统维护项目保障各前端监测站点的正常运行，数据也稳定接收，保障水利专网链路的稳定传输、运行，为各应用系统提供升级更新和维护服务，保障各应用系统的稳定运行：网络舆情监控软件维护、周刊整编印发、专刊编辑发布。</w:t>
      </w:r>
    </w:p>
    <w:p w:rsidR="00710833"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项目绩效目标符合国家相关法律法规、国民经济发展规划和党委政府决策，与武汉市水务防汛信息中心职责密切相关，且项目预期产出效益和效果符合正常的业绩水平，与单位实际情况相符。</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（3）指标明确性</w:t>
      </w:r>
    </w:p>
    <w:p w:rsidR="001F6A75" w:rsidRDefault="00713EBA">
      <w:pPr>
        <w:spacing w:line="520" w:lineRule="exact"/>
        <w:ind w:firstLine="560"/>
        <w:rPr>
          <w:rFonts w:ascii="仿宋" w:eastAsia="仿宋" w:hAnsi="仿宋"/>
          <w:bCs/>
          <w:sz w:val="28"/>
          <w:szCs w:val="28"/>
        </w:rPr>
      </w:pPr>
      <w:r>
        <w:rPr>
          <w:rFonts w:ascii="仿宋" w:eastAsia="仿宋" w:hAnsi="仿宋" w:hint="eastAsia"/>
          <w:bCs/>
          <w:sz w:val="28"/>
          <w:szCs w:val="28"/>
        </w:rPr>
        <w:t>项目设立了年度绩效指标，指标设置基本反映项目主要内容。</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（4）资金执行率</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2017年项目支出预算970.62万元，同口径预算实际支出762.32万元，项目预算执行率为78.54</w:t>
      </w:r>
      <w:r>
        <w:rPr>
          <w:rFonts w:ascii="仿宋" w:eastAsia="仿宋" w:hAnsi="仿宋"/>
          <w:bCs/>
          <w:sz w:val="28"/>
          <w:szCs w:val="28"/>
        </w:rPr>
        <w:t>%</w:t>
      </w:r>
      <w:r>
        <w:rPr>
          <w:rFonts w:ascii="仿宋" w:eastAsia="仿宋" w:hAnsi="仿宋" w:hint="eastAsia"/>
          <w:bCs/>
          <w:sz w:val="28"/>
          <w:szCs w:val="28"/>
        </w:rPr>
        <w:t>，具体情况如下表：</w:t>
      </w:r>
    </w:p>
    <w:p w:rsidR="001F6A75" w:rsidRDefault="00713EBA">
      <w:pPr>
        <w:wordWrap w:val="0"/>
        <w:spacing w:line="520" w:lineRule="exact"/>
        <w:ind w:firstLineChars="200" w:firstLine="480"/>
        <w:jc w:val="right"/>
        <w:rPr>
          <w:rFonts w:ascii="仿宋" w:eastAsia="仿宋" w:hAnsi="仿宋"/>
          <w:bCs/>
          <w:sz w:val="24"/>
        </w:rPr>
      </w:pPr>
      <w:r>
        <w:rPr>
          <w:rFonts w:ascii="仿宋" w:eastAsia="仿宋" w:hAnsi="仿宋" w:hint="eastAsia"/>
          <w:bCs/>
          <w:sz w:val="24"/>
        </w:rPr>
        <w:t xml:space="preserve">单位：万元    </w:t>
      </w:r>
    </w:p>
    <w:tbl>
      <w:tblPr>
        <w:tblW w:w="8258" w:type="dxa"/>
        <w:tblLayout w:type="fixed"/>
        <w:tblCellMar>
          <w:top w:w="15" w:type="dxa"/>
          <w:left w:w="15" w:type="dxa"/>
          <w:bottom w:w="15" w:type="dxa"/>
          <w:right w:w="15" w:type="dxa"/>
        </w:tblCellMar>
        <w:tblLook w:val="04A0" w:firstRow="1" w:lastRow="0" w:firstColumn="1" w:lastColumn="0" w:noHBand="0" w:noVBand="1"/>
      </w:tblPr>
      <w:tblGrid>
        <w:gridCol w:w="713"/>
        <w:gridCol w:w="2661"/>
        <w:gridCol w:w="1635"/>
        <w:gridCol w:w="1650"/>
        <w:gridCol w:w="1599"/>
      </w:tblGrid>
      <w:tr w:rsidR="001F6A75">
        <w:trPr>
          <w:trHeight w:val="465"/>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序号</w:t>
            </w:r>
          </w:p>
        </w:tc>
        <w:tc>
          <w:tcPr>
            <w:tcW w:w="2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项目名称</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预算数</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执行数</w:t>
            </w:r>
          </w:p>
        </w:tc>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执行率</w:t>
            </w:r>
          </w:p>
        </w:tc>
      </w:tr>
      <w:tr w:rsidR="001F6A75">
        <w:trPr>
          <w:trHeight w:val="390"/>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w:t>
            </w:r>
          </w:p>
        </w:tc>
        <w:tc>
          <w:tcPr>
            <w:tcW w:w="2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计算机网络系统维护</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72.62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72.62</w:t>
            </w:r>
          </w:p>
        </w:tc>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100.00%</w:t>
            </w:r>
          </w:p>
        </w:tc>
      </w:tr>
      <w:tr w:rsidR="001F6A75">
        <w:trPr>
          <w:trHeight w:val="390"/>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2</w:t>
            </w:r>
          </w:p>
        </w:tc>
        <w:tc>
          <w:tcPr>
            <w:tcW w:w="2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智慧湖泊建设</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350.00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145.80</w:t>
            </w:r>
          </w:p>
        </w:tc>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41.66%</w:t>
            </w:r>
          </w:p>
        </w:tc>
      </w:tr>
      <w:tr w:rsidR="001F6A75">
        <w:trPr>
          <w:trHeight w:val="390"/>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3</w:t>
            </w:r>
          </w:p>
        </w:tc>
        <w:tc>
          <w:tcPr>
            <w:tcW w:w="2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水务信息化系统维护</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368.00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368.00</w:t>
            </w:r>
          </w:p>
        </w:tc>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100.00%</w:t>
            </w:r>
          </w:p>
        </w:tc>
      </w:tr>
      <w:tr w:rsidR="001F6A75">
        <w:trPr>
          <w:trHeight w:val="390"/>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4</w:t>
            </w:r>
          </w:p>
        </w:tc>
        <w:tc>
          <w:tcPr>
            <w:tcW w:w="2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排水信息维护管理</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180.00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175.90</w:t>
            </w:r>
          </w:p>
        </w:tc>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97.72%</w:t>
            </w:r>
          </w:p>
        </w:tc>
      </w:tr>
      <w:tr w:rsidR="001F6A75">
        <w:trPr>
          <w:trHeight w:val="420"/>
        </w:trPr>
        <w:tc>
          <w:tcPr>
            <w:tcW w:w="33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合计</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970.62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762.32</w:t>
            </w:r>
          </w:p>
        </w:tc>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A75" w:rsidRDefault="00713E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78.54%</w:t>
            </w:r>
          </w:p>
        </w:tc>
      </w:tr>
    </w:tbl>
    <w:p w:rsidR="001F6A75" w:rsidRDefault="001F6A75">
      <w:pPr>
        <w:spacing w:line="520" w:lineRule="exact"/>
        <w:rPr>
          <w:rFonts w:ascii="仿宋" w:eastAsia="仿宋" w:hAnsi="仿宋"/>
          <w:bCs/>
          <w:sz w:val="24"/>
        </w:rPr>
      </w:pPr>
    </w:p>
    <w:p w:rsidR="001F6A75" w:rsidRDefault="00713EBA">
      <w:pPr>
        <w:spacing w:line="520" w:lineRule="exact"/>
        <w:ind w:firstLineChars="200" w:firstLine="560"/>
        <w:outlineLvl w:val="2"/>
        <w:rPr>
          <w:rFonts w:ascii="仿宋" w:eastAsia="仿宋" w:hAnsi="仿宋"/>
          <w:bCs/>
          <w:sz w:val="28"/>
          <w:szCs w:val="28"/>
        </w:rPr>
      </w:pPr>
      <w:bookmarkStart w:id="28" w:name="_Toc517708019"/>
      <w:r>
        <w:rPr>
          <w:rFonts w:ascii="仿宋" w:eastAsia="仿宋" w:hAnsi="仿宋" w:hint="eastAsia"/>
          <w:bCs/>
          <w:sz w:val="28"/>
          <w:szCs w:val="28"/>
        </w:rPr>
        <w:t>2.项目过程</w:t>
      </w:r>
      <w:bookmarkEnd w:id="28"/>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本项指标总分为28分，实际得25.5分，得分率91.07%,项目过程具体评价如下：</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（1）财务管理制度健全性</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为规范财务行为，加强水务系统的财务管理，提高资金使用效益，根据</w:t>
      </w:r>
      <w:r>
        <w:rPr>
          <w:rFonts w:ascii="仿宋" w:eastAsia="仿宋" w:hAnsi="仿宋" w:hint="eastAsia"/>
          <w:sz w:val="28"/>
          <w:szCs w:val="28"/>
        </w:rPr>
        <w:t>《中华人民共和国预算法》、《中华人民共和国会计法》和《中华人民共和国政府采购法》和《行政单位财务规则》、《事业单位会计准则》、《事业单位会计制度》和其他法律、法规和水务事业发展的需要，</w:t>
      </w:r>
      <w:r>
        <w:rPr>
          <w:rFonts w:ascii="仿宋" w:eastAsia="仿宋" w:hAnsi="仿宋" w:hint="eastAsia"/>
          <w:bCs/>
          <w:sz w:val="28"/>
          <w:szCs w:val="28"/>
        </w:rPr>
        <w:t>制定和印发了《武汉市水务局系统财务管理制度》，内容涉及部门预算与决算管理、收入管理、支出管理、资产管理、票据管理、政府采购管理、会计档案管理等方面，财务制度健全且建立了严格的财务报销制度和印鉴管理机制。</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（2）资金使用合规性</w:t>
      </w:r>
    </w:p>
    <w:p w:rsidR="001F5C48"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项目实际支出与项目计划投入资金的用途基本相符，基本符合《中华人民共和国会计法》、《中华人民共和国预算法》和《行政单位会计制度》的规定；资金的拨付有基本的审批程序和手续</w:t>
      </w:r>
      <w:r w:rsidR="001F5C48">
        <w:rPr>
          <w:rFonts w:ascii="仿宋" w:eastAsia="仿宋" w:hAnsi="仿宋" w:hint="eastAsia"/>
          <w:bCs/>
          <w:sz w:val="28"/>
          <w:szCs w:val="28"/>
        </w:rPr>
        <w:t>。</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（3）资金单独核算</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项目资金的会计核算严格执行了财政部颁发的《基本建设财务管理若干规定》，合理合规建立相关账目、科目，项目经费独立核算。</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（4）财务信息质量</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预算执行和财务管理比较规范，会计资料真实，会计处理和决算报告编制符合预算法、相关会计准则和会计制度的规定。资金通过财政直接直付、授权支付或其它方式进行结算。资金拨付使用严格按照程序执行，用款申请单经用款部门和经办人提出申请，并注</w:t>
      </w:r>
      <w:r>
        <w:rPr>
          <w:rFonts w:ascii="仿宋" w:eastAsia="仿宋" w:hAnsi="仿宋" w:hint="eastAsia"/>
          <w:bCs/>
          <w:sz w:val="28"/>
          <w:szCs w:val="28"/>
        </w:rPr>
        <w:lastRenderedPageBreak/>
        <w:t>明用款理由和相关支出附件，经业务负责人、财务负责人、分管领导签字后通过财政直接支付或授权支付，以保证财政资金使用的安全。单位会计帐簿齐全、帐实相符、会计核算清楚规范,原始凭证符合要求，手续齐全；项目及时结算，手续合规齐备。</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（5）项目组织实施</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项目的需要，通过招投标和政府采购的相关要求，对符合政府采购标准的货物、工程和服务项目编制政府采购预算，实施政府采购。通过政府采购落实项目所需人员、设备设施等条件，确保项目实施的手续齐全、人员及设备到位。</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（6）基本建设程序管理</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除保运转类项目外，其他项目均实行公开招投标、邀标或询价等程序，通过政府采购落实项目所需的人员和设施设备，并按项目进度实施和支付进度款，最后对达到验收条件的项目办理竣工验收手续。单位日常运行维护项目根据单位相关财务和项目管理制度进行实施和落实。项目实施基本符合基本建设程序和国家法律法规的规定，建设资金的拨付基本符合有关管理制度的规定，基本实现项目预期目标。</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（7）项目工程质量管理</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项目建设工程质量管理贯穿项目建设的全过程，项目立项申请、立项批复、可行性研究、实施招标、评审、实施方案、施工、监理、验收各环节环环相扣，管理科学有序，保障了项目质量。</w:t>
      </w:r>
    </w:p>
    <w:p w:rsidR="001F6A75" w:rsidRDefault="00713EBA">
      <w:pPr>
        <w:numPr>
          <w:ilvl w:val="0"/>
          <w:numId w:val="1"/>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项目档案管理</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单位有完善的工程项目档案管理制度，并有专人负责对项目档案进行整理、及时归档，项目档案从申请立项到竣工验收一系列资料齐全。</w:t>
      </w:r>
    </w:p>
    <w:p w:rsidR="001F6A75" w:rsidRDefault="00713EBA">
      <w:pPr>
        <w:spacing w:line="520" w:lineRule="exact"/>
        <w:ind w:firstLineChars="200" w:firstLine="560"/>
        <w:outlineLvl w:val="2"/>
        <w:rPr>
          <w:rFonts w:ascii="仿宋" w:eastAsia="仿宋" w:hAnsi="仿宋"/>
          <w:bCs/>
          <w:sz w:val="28"/>
          <w:szCs w:val="28"/>
        </w:rPr>
      </w:pPr>
      <w:bookmarkStart w:id="29" w:name="_Toc517708020"/>
      <w:r>
        <w:rPr>
          <w:rFonts w:ascii="仿宋" w:eastAsia="仿宋" w:hAnsi="仿宋" w:hint="eastAsia"/>
          <w:bCs/>
          <w:sz w:val="28"/>
          <w:szCs w:val="28"/>
        </w:rPr>
        <w:t>3.项目产出</w:t>
      </w:r>
      <w:bookmarkEnd w:id="29"/>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本项指标总分为40分，实际得分达到38分，得分率95%,项目产出具体评价如下：</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（1）智慧湖泊管理平台建设完成率</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智慧湖泊管理平台建设项目依托武汉市市政务外网数字地图和大数据技术，综合无人机、卫星遥感等空间地理数据，与规划、公安、水文、气象等多部门共享数据，建设具备政务办公、实时监测、业务管理、信息交流、基础数据查询等管理服务功能的智慧湖泊管理平台，实现全市湖泊管理“三个一”（一个云平台、一个基础数据库、一张图），自动远程监测166个湖泊和3D实景智能化管理。该项目包含公共管理平台和公共服务平台两大块，其中：公共管理平台应用系统建设完成了区级应用开发、区级湖泊执法流程改造、水务通区级执法流程功能、接口开发、渣土车GPS预警、涉湖项目管理、湖泊巡查、监测数据收集整编入库等8项子工程；公共服务平台软件开发完善了原有湖泊官方网站、微博，新建武汉湖泊官方微信公众号、云端武汉.湖泊APP，搭建公共服务平台，提供公众共享服务、护湖志愿着自管服务，共享和互助湖泊周边旅游等信息，展示湖泊历史文化，上线湖泊足迹、摄影等游戏。项目所需配套的软硬件设施设备均通过验收交付使用，平台运行状况良好。</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（2）系统维护及时率</w:t>
      </w:r>
    </w:p>
    <w:p w:rsidR="00BA753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计算机网络系统维护、排水信息维护管理、水务信息化系统维护项目的实施，均按维护计划及时完成，从全局实际出发，设立24小时网络管理员，时刻监控网络设施、设备等运行状态，定时查看系统情况，出现问题及时抢护，并做好台账记录；坚持每天监测线路网管情况，针对检查发现的问题及时协调维修；每2周开展一次系统调试，及时跟踪设备在防汛演练中的使用情况，及时对出现的问题进行整改，等等。</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（3）网络设施设备完好率</w:t>
      </w:r>
    </w:p>
    <w:p w:rsidR="001F6A75" w:rsidRDefault="00713EBA">
      <w:pPr>
        <w:spacing w:line="520" w:lineRule="exact"/>
        <w:ind w:firstLineChars="200" w:firstLine="560"/>
        <w:outlineLvl w:val="2"/>
        <w:rPr>
          <w:rFonts w:ascii="仿宋" w:eastAsia="仿宋" w:hAnsi="仿宋"/>
          <w:bCs/>
          <w:sz w:val="28"/>
          <w:szCs w:val="28"/>
        </w:rPr>
      </w:pPr>
      <w:bookmarkStart w:id="30" w:name="_Toc517708021"/>
      <w:r>
        <w:rPr>
          <w:rFonts w:ascii="仿宋" w:eastAsia="仿宋" w:hAnsi="仿宋" w:hint="eastAsia"/>
          <w:bCs/>
          <w:sz w:val="28"/>
          <w:szCs w:val="28"/>
        </w:rPr>
        <w:t>为了保障水务通信网络、设施设备完好，应用</w:t>
      </w:r>
      <w:r w:rsidR="001F5C48">
        <w:rPr>
          <w:rFonts w:ascii="仿宋" w:eastAsia="仿宋" w:hAnsi="仿宋" w:hint="eastAsia"/>
          <w:bCs/>
          <w:sz w:val="28"/>
          <w:szCs w:val="28"/>
        </w:rPr>
        <w:t>系统稳定，</w:t>
      </w:r>
      <w:r>
        <w:rPr>
          <w:rFonts w:ascii="仿宋" w:eastAsia="仿宋" w:hAnsi="仿宋" w:hint="eastAsia"/>
          <w:bCs/>
          <w:sz w:val="28"/>
          <w:szCs w:val="28"/>
        </w:rPr>
        <w:t>从办公网络运行维护、水利专网设备的日常维护、应急通信设备维护和视频会议系统巡检等多方面加强监控管理，对故障早发现、早排除，确保了网络设施设备安全稳定的运行。</w:t>
      </w:r>
    </w:p>
    <w:p w:rsidR="001F6A75" w:rsidRDefault="00713EBA">
      <w:pPr>
        <w:numPr>
          <w:ilvl w:val="0"/>
          <w:numId w:val="2"/>
        </w:numPr>
        <w:spacing w:line="520" w:lineRule="exact"/>
        <w:ind w:firstLineChars="200" w:firstLine="560"/>
        <w:outlineLvl w:val="2"/>
        <w:rPr>
          <w:rFonts w:ascii="仿宋" w:eastAsia="仿宋" w:hAnsi="仿宋"/>
          <w:bCs/>
          <w:sz w:val="28"/>
          <w:szCs w:val="28"/>
        </w:rPr>
      </w:pPr>
      <w:r>
        <w:rPr>
          <w:rFonts w:ascii="仿宋" w:eastAsia="仿宋" w:hAnsi="仿宋" w:hint="eastAsia"/>
          <w:bCs/>
          <w:sz w:val="28"/>
          <w:szCs w:val="28"/>
        </w:rPr>
        <w:t>监测数据准确率</w:t>
      </w:r>
    </w:p>
    <w:p w:rsidR="00BA7535" w:rsidRDefault="00713EBA">
      <w:pPr>
        <w:spacing w:line="520" w:lineRule="exact"/>
        <w:ind w:firstLine="560"/>
        <w:outlineLvl w:val="2"/>
        <w:rPr>
          <w:rFonts w:ascii="仿宋" w:eastAsia="仿宋" w:hAnsi="仿宋"/>
          <w:bCs/>
          <w:sz w:val="28"/>
          <w:szCs w:val="28"/>
        </w:rPr>
      </w:pPr>
      <w:r>
        <w:rPr>
          <w:rFonts w:ascii="仿宋" w:eastAsia="仿宋" w:hAnsi="仿宋" w:hint="eastAsia"/>
          <w:bCs/>
          <w:sz w:val="28"/>
          <w:szCs w:val="28"/>
        </w:rPr>
        <w:t>运行维护项目在保障各前端监测点的正常运行和数据稳定接收的基础上，为各应用系统提供升级更新服务，对现有平台进行了功能扩充和修改完善，实现了水情、雨情、汛情及基础数据的移动在线查询，为各平台和系统在汛期运行稳定、良好，及防汛排渍指挥调度和实时监控提供了重要支撑。</w:t>
      </w:r>
    </w:p>
    <w:p w:rsidR="001F6A75" w:rsidRDefault="00713EBA">
      <w:pPr>
        <w:spacing w:line="520" w:lineRule="exact"/>
        <w:ind w:firstLine="560"/>
        <w:outlineLvl w:val="2"/>
        <w:rPr>
          <w:rFonts w:ascii="仿宋" w:eastAsia="仿宋" w:hAnsi="仿宋"/>
          <w:bCs/>
          <w:sz w:val="28"/>
          <w:szCs w:val="28"/>
        </w:rPr>
      </w:pPr>
      <w:r>
        <w:rPr>
          <w:rFonts w:ascii="仿宋" w:eastAsia="仿宋" w:hAnsi="仿宋" w:hint="eastAsia"/>
          <w:bCs/>
          <w:sz w:val="28"/>
          <w:szCs w:val="28"/>
        </w:rPr>
        <w:t>4.项目效果</w:t>
      </w:r>
      <w:bookmarkEnd w:id="30"/>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本项指标总分为20分，实际得分达17分，得分率85%,项目效果具体评价如下：</w:t>
      </w:r>
    </w:p>
    <w:p w:rsidR="001F6A75" w:rsidRDefault="00713EBA">
      <w:pPr>
        <w:numPr>
          <w:ilvl w:val="0"/>
          <w:numId w:val="3"/>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提升武汉市湖泊综合管理和公共服务水平</w:t>
      </w:r>
    </w:p>
    <w:p w:rsidR="001F6A75" w:rsidRDefault="00713EBA">
      <w:pPr>
        <w:spacing w:line="520" w:lineRule="exact"/>
        <w:rPr>
          <w:rFonts w:ascii="仿宋" w:eastAsia="仿宋" w:hAnsi="仿宋"/>
          <w:bCs/>
          <w:sz w:val="28"/>
          <w:szCs w:val="28"/>
        </w:rPr>
      </w:pPr>
      <w:r>
        <w:rPr>
          <w:rFonts w:ascii="仿宋" w:eastAsia="仿宋" w:hAnsi="仿宋" w:hint="eastAsia"/>
          <w:bCs/>
          <w:sz w:val="28"/>
          <w:szCs w:val="28"/>
        </w:rPr>
        <w:t xml:space="preserve">    智慧湖泊综合平台项目实施后，完成智慧湖泊综合管理平台业务应用系统建设及智慧湖泊综合管理平台湖泊公共服务平台软件开发。实现了全市166个湖泊自动远程监测、湖泊3D实景等智能化管理；搭建公共服务平台，创新服务供给，开放湖泊信息，构建互动通道，提升了公共服务水平。该项目整合信息资源，建立湖泊综合数据库，搭建武汉市湖泊“一张图”，为湖泊执法管理及公众服务提供支撑，同时与市长专线、水务110、微信、微博及手机APP等实施有效对接，加强执法管理。</w:t>
      </w:r>
    </w:p>
    <w:p w:rsidR="001F6A75" w:rsidRDefault="00713EBA">
      <w:pPr>
        <w:numPr>
          <w:ilvl w:val="0"/>
          <w:numId w:val="3"/>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提升水务防汛监管及处置的能力</w:t>
      </w:r>
    </w:p>
    <w:p w:rsidR="001F6A75" w:rsidRDefault="00713EBA">
      <w:pPr>
        <w:ind w:firstLineChars="200" w:firstLine="560"/>
        <w:rPr>
          <w:rFonts w:ascii="仿宋" w:eastAsia="仿宋" w:hAnsi="仿宋"/>
          <w:bCs/>
          <w:sz w:val="28"/>
          <w:szCs w:val="28"/>
        </w:rPr>
      </w:pPr>
      <w:r>
        <w:rPr>
          <w:rFonts w:ascii="仿宋" w:eastAsia="仿宋" w:hAnsi="仿宋" w:hint="eastAsia"/>
          <w:bCs/>
          <w:sz w:val="28"/>
          <w:szCs w:val="28"/>
        </w:rPr>
        <w:t>计算机网络系统维护、水务信息化系统维护、排水信息维护管理等项目的实施，对各个监测站点和监控平台逐一进行了巡检，消</w:t>
      </w:r>
      <w:r>
        <w:rPr>
          <w:rFonts w:ascii="仿宋" w:eastAsia="仿宋" w:hAnsi="仿宋" w:hint="eastAsia"/>
          <w:bCs/>
          <w:sz w:val="28"/>
          <w:szCs w:val="28"/>
        </w:rPr>
        <w:lastRenderedPageBreak/>
        <w:t>除故障点，保障了各类监测站点有效运行；同时，定期对应急通讯设备和视频会商系统进行调试，加强对各区巡查监管和指导，加强与长江委、市水文、气象、公安、城管、交管、国土规划等部门的对接，确保信息渠道畅通，为防汛排渍指挥调度提供了更好的技术支撑。</w:t>
      </w:r>
    </w:p>
    <w:p w:rsidR="001F6A75" w:rsidRDefault="00713EBA">
      <w:pPr>
        <w:numPr>
          <w:ilvl w:val="0"/>
          <w:numId w:val="3"/>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实现信息化成果共享与互通</w:t>
      </w:r>
    </w:p>
    <w:p w:rsidR="001F6A75" w:rsidRDefault="00713EBA">
      <w:pPr>
        <w:rPr>
          <w:rFonts w:ascii="仿宋" w:eastAsia="仿宋" w:hAnsi="仿宋"/>
          <w:bCs/>
          <w:sz w:val="28"/>
          <w:szCs w:val="28"/>
        </w:rPr>
      </w:pPr>
      <w:r>
        <w:rPr>
          <w:rFonts w:ascii="仿宋" w:eastAsia="仿宋" w:hAnsi="仿宋" w:hint="eastAsia"/>
          <w:bCs/>
          <w:sz w:val="28"/>
          <w:szCs w:val="28"/>
        </w:rPr>
        <w:t xml:space="preserve">   项目的实施，加强了水务信息化成果的推广应用，初步完善了水务信息化体系。同时，完善水务综合管理平台，有利于打通和优化市、区两级网络链路，实现信息化成果共享与互通。与长江委、市水文、气象、公安、城管、交管、国土规划等部门的对接，有利于水务执法和防汛排渍工作更好地开展。</w:t>
      </w:r>
    </w:p>
    <w:p w:rsidR="001F6A75" w:rsidRDefault="00713EBA">
      <w:pPr>
        <w:numPr>
          <w:ilvl w:val="0"/>
          <w:numId w:val="3"/>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对水文雨情实时监管，保护生态环境</w:t>
      </w:r>
    </w:p>
    <w:p w:rsidR="001F6A75" w:rsidRDefault="00713EBA">
      <w:pPr>
        <w:ind w:firstLineChars="200" w:firstLine="560"/>
        <w:rPr>
          <w:rFonts w:ascii="仿宋" w:eastAsia="仿宋" w:hAnsi="仿宋"/>
          <w:bCs/>
          <w:sz w:val="28"/>
          <w:szCs w:val="28"/>
        </w:rPr>
      </w:pPr>
      <w:r>
        <w:rPr>
          <w:rFonts w:ascii="仿宋" w:eastAsia="仿宋" w:hAnsi="仿宋" w:hint="eastAsia"/>
          <w:bCs/>
          <w:sz w:val="28"/>
          <w:szCs w:val="28"/>
        </w:rPr>
        <w:t>水务信息化项目的实施，提高了水文气象分析能力和服务水平，从水务科普、湖泊保护、非法采砂、排水疏捞、节约用水等多方面业务，对水文雨情、涉水舆情实施监管，实现了水务生态环境保护信息化水平的提高。</w:t>
      </w:r>
    </w:p>
    <w:p w:rsidR="001F6A75" w:rsidRDefault="00713EBA">
      <w:pPr>
        <w:spacing w:beforeLines="50" w:before="156" w:afterLines="50" w:after="156" w:line="520" w:lineRule="exact"/>
        <w:ind w:firstLineChars="200" w:firstLine="560"/>
        <w:outlineLvl w:val="1"/>
        <w:rPr>
          <w:rFonts w:ascii="仿宋" w:eastAsia="仿宋" w:hAnsi="仿宋"/>
          <w:sz w:val="28"/>
          <w:szCs w:val="28"/>
        </w:rPr>
      </w:pPr>
      <w:bookmarkStart w:id="31" w:name="_Toc517708022"/>
      <w:r>
        <w:rPr>
          <w:rFonts w:ascii="仿宋" w:eastAsia="仿宋" w:hAnsi="仿宋" w:hint="eastAsia"/>
          <w:sz w:val="28"/>
          <w:szCs w:val="28"/>
        </w:rPr>
        <w:t>（四）评价结论</w:t>
      </w:r>
      <w:bookmarkEnd w:id="31"/>
    </w:p>
    <w:p w:rsidR="001F6A75" w:rsidRDefault="00713EBA">
      <w:pPr>
        <w:spacing w:beforeLines="50" w:before="156" w:afterLines="50" w:after="156" w:line="520" w:lineRule="exact"/>
        <w:ind w:firstLineChars="200" w:firstLine="560"/>
        <w:outlineLvl w:val="2"/>
        <w:rPr>
          <w:rFonts w:ascii="仿宋" w:eastAsia="仿宋" w:hAnsi="仿宋"/>
          <w:sz w:val="28"/>
          <w:szCs w:val="28"/>
        </w:rPr>
      </w:pPr>
      <w:bookmarkStart w:id="32" w:name="_Toc517708023"/>
      <w:r>
        <w:rPr>
          <w:rFonts w:ascii="仿宋" w:eastAsia="仿宋" w:hAnsi="仿宋" w:hint="eastAsia"/>
          <w:sz w:val="28"/>
          <w:szCs w:val="28"/>
        </w:rPr>
        <w:t>1.综合评分结果</w:t>
      </w:r>
      <w:bookmarkEnd w:id="32"/>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276"/>
        <w:gridCol w:w="1417"/>
        <w:gridCol w:w="1701"/>
        <w:gridCol w:w="1418"/>
      </w:tblGrid>
      <w:tr w:rsidR="001F6A75">
        <w:trPr>
          <w:trHeight w:hRule="exact" w:val="648"/>
          <w:tblHeader/>
          <w:jc w:val="center"/>
        </w:trPr>
        <w:tc>
          <w:tcPr>
            <w:tcW w:w="1418" w:type="dxa"/>
            <w:vAlign w:val="center"/>
          </w:tcPr>
          <w:p w:rsidR="001F6A75" w:rsidRDefault="00713EBA">
            <w:pPr>
              <w:widowControl/>
              <w:jc w:val="center"/>
              <w:rPr>
                <w:rFonts w:ascii="仿宋" w:eastAsia="仿宋" w:hAnsi="仿宋" w:cs="仿宋"/>
                <w:b/>
                <w:kern w:val="0"/>
                <w:sz w:val="28"/>
                <w:szCs w:val="28"/>
              </w:rPr>
            </w:pPr>
            <w:r>
              <w:rPr>
                <w:rFonts w:ascii="仿宋" w:eastAsia="仿宋" w:hAnsi="仿宋" w:cs="仿宋" w:hint="eastAsia"/>
                <w:b/>
                <w:kern w:val="0"/>
                <w:sz w:val="28"/>
                <w:szCs w:val="28"/>
              </w:rPr>
              <w:t>评价指标</w:t>
            </w:r>
          </w:p>
        </w:tc>
        <w:tc>
          <w:tcPr>
            <w:tcW w:w="992" w:type="dxa"/>
            <w:vAlign w:val="center"/>
          </w:tcPr>
          <w:p w:rsidR="001F6A75" w:rsidRDefault="00713EBA">
            <w:pPr>
              <w:widowControl/>
              <w:jc w:val="center"/>
              <w:rPr>
                <w:rFonts w:ascii="仿宋" w:eastAsia="仿宋" w:hAnsi="仿宋" w:cs="仿宋"/>
                <w:b/>
                <w:kern w:val="0"/>
                <w:sz w:val="28"/>
                <w:szCs w:val="28"/>
              </w:rPr>
            </w:pPr>
            <w:r>
              <w:rPr>
                <w:rFonts w:ascii="仿宋" w:eastAsia="仿宋" w:hAnsi="仿宋" w:cs="仿宋" w:hint="eastAsia"/>
                <w:b/>
                <w:kern w:val="0"/>
                <w:sz w:val="28"/>
                <w:szCs w:val="28"/>
              </w:rPr>
              <w:t>权重</w:t>
            </w:r>
          </w:p>
        </w:tc>
        <w:tc>
          <w:tcPr>
            <w:tcW w:w="1276" w:type="dxa"/>
            <w:vAlign w:val="center"/>
          </w:tcPr>
          <w:p w:rsidR="001F6A75" w:rsidRDefault="00713EBA">
            <w:pPr>
              <w:widowControl/>
              <w:jc w:val="center"/>
              <w:rPr>
                <w:rFonts w:ascii="仿宋" w:eastAsia="仿宋" w:hAnsi="仿宋" w:cs="仿宋"/>
                <w:b/>
                <w:kern w:val="0"/>
                <w:sz w:val="28"/>
                <w:szCs w:val="28"/>
              </w:rPr>
            </w:pPr>
            <w:r>
              <w:rPr>
                <w:rFonts w:ascii="仿宋" w:eastAsia="仿宋" w:hAnsi="仿宋" w:cs="仿宋" w:hint="eastAsia"/>
                <w:b/>
                <w:kern w:val="0"/>
                <w:sz w:val="28"/>
                <w:szCs w:val="28"/>
              </w:rPr>
              <w:t>评级分值</w:t>
            </w:r>
          </w:p>
        </w:tc>
        <w:tc>
          <w:tcPr>
            <w:tcW w:w="1417" w:type="dxa"/>
            <w:vAlign w:val="center"/>
          </w:tcPr>
          <w:p w:rsidR="001F6A75" w:rsidRDefault="00713EBA">
            <w:pPr>
              <w:widowControl/>
              <w:jc w:val="center"/>
              <w:rPr>
                <w:rFonts w:ascii="仿宋" w:eastAsia="仿宋" w:hAnsi="仿宋" w:cs="仿宋"/>
                <w:b/>
                <w:kern w:val="0"/>
                <w:sz w:val="28"/>
                <w:szCs w:val="28"/>
              </w:rPr>
            </w:pPr>
            <w:r>
              <w:rPr>
                <w:rFonts w:ascii="仿宋" w:eastAsia="仿宋" w:hAnsi="仿宋" w:cs="仿宋" w:hint="eastAsia"/>
                <w:b/>
                <w:kern w:val="0"/>
                <w:sz w:val="28"/>
                <w:szCs w:val="28"/>
              </w:rPr>
              <w:t>项目得分</w:t>
            </w:r>
          </w:p>
        </w:tc>
        <w:tc>
          <w:tcPr>
            <w:tcW w:w="1701" w:type="dxa"/>
            <w:vAlign w:val="center"/>
          </w:tcPr>
          <w:p w:rsidR="001F6A75" w:rsidRDefault="00713EBA">
            <w:pPr>
              <w:widowControl/>
              <w:jc w:val="center"/>
              <w:rPr>
                <w:rFonts w:ascii="仿宋" w:eastAsia="仿宋" w:hAnsi="仿宋" w:cs="仿宋"/>
                <w:b/>
                <w:kern w:val="0"/>
                <w:sz w:val="28"/>
                <w:szCs w:val="28"/>
              </w:rPr>
            </w:pPr>
            <w:r>
              <w:rPr>
                <w:rFonts w:ascii="仿宋" w:eastAsia="仿宋" w:hAnsi="仿宋" w:cs="仿宋" w:hint="eastAsia"/>
                <w:b/>
                <w:kern w:val="0"/>
                <w:sz w:val="28"/>
                <w:szCs w:val="28"/>
              </w:rPr>
              <w:t>得分率</w:t>
            </w:r>
          </w:p>
        </w:tc>
        <w:tc>
          <w:tcPr>
            <w:tcW w:w="1418" w:type="dxa"/>
            <w:vAlign w:val="center"/>
          </w:tcPr>
          <w:p w:rsidR="001F6A75" w:rsidRDefault="00713EBA">
            <w:pPr>
              <w:jc w:val="center"/>
              <w:rPr>
                <w:rFonts w:ascii="仿宋" w:eastAsia="仿宋" w:hAnsi="仿宋" w:cs="仿宋"/>
                <w:b/>
                <w:kern w:val="0"/>
                <w:sz w:val="28"/>
                <w:szCs w:val="28"/>
              </w:rPr>
            </w:pPr>
            <w:r>
              <w:rPr>
                <w:rFonts w:ascii="仿宋" w:eastAsia="仿宋" w:hAnsi="仿宋" w:cs="仿宋" w:hint="eastAsia"/>
                <w:b/>
                <w:kern w:val="0"/>
                <w:sz w:val="28"/>
                <w:szCs w:val="28"/>
              </w:rPr>
              <w:t>评价级别</w:t>
            </w:r>
          </w:p>
        </w:tc>
      </w:tr>
      <w:tr w:rsidR="001F6A75">
        <w:trPr>
          <w:trHeight w:val="624"/>
          <w:jc w:val="center"/>
        </w:trPr>
        <w:tc>
          <w:tcPr>
            <w:tcW w:w="1418"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项目投入</w:t>
            </w:r>
          </w:p>
        </w:tc>
        <w:tc>
          <w:tcPr>
            <w:tcW w:w="992"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12%</w:t>
            </w:r>
          </w:p>
        </w:tc>
        <w:tc>
          <w:tcPr>
            <w:tcW w:w="1276"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12</w:t>
            </w:r>
          </w:p>
        </w:tc>
        <w:tc>
          <w:tcPr>
            <w:tcW w:w="1417"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8.93</w:t>
            </w:r>
          </w:p>
        </w:tc>
        <w:tc>
          <w:tcPr>
            <w:tcW w:w="1701"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74.42%</w:t>
            </w:r>
          </w:p>
        </w:tc>
        <w:tc>
          <w:tcPr>
            <w:tcW w:w="1418" w:type="dxa"/>
            <w:vAlign w:val="center"/>
          </w:tcPr>
          <w:p w:rsidR="001F6A75" w:rsidRDefault="00713EBA">
            <w:pPr>
              <w:jc w:val="center"/>
              <w:rPr>
                <w:rFonts w:ascii="仿宋" w:eastAsia="仿宋" w:hAnsi="仿宋" w:cs="仿宋"/>
                <w:kern w:val="0"/>
                <w:sz w:val="28"/>
                <w:szCs w:val="28"/>
              </w:rPr>
            </w:pPr>
            <w:r>
              <w:rPr>
                <w:rFonts w:ascii="仿宋" w:eastAsia="仿宋" w:hAnsi="仿宋" w:cs="仿宋" w:hint="eastAsia"/>
                <w:kern w:val="0"/>
                <w:sz w:val="28"/>
                <w:szCs w:val="28"/>
              </w:rPr>
              <w:t>中</w:t>
            </w:r>
          </w:p>
        </w:tc>
      </w:tr>
      <w:tr w:rsidR="001F6A75">
        <w:trPr>
          <w:trHeight w:val="624"/>
          <w:jc w:val="center"/>
        </w:trPr>
        <w:tc>
          <w:tcPr>
            <w:tcW w:w="1418"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项目过程</w:t>
            </w:r>
          </w:p>
        </w:tc>
        <w:tc>
          <w:tcPr>
            <w:tcW w:w="992"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28%</w:t>
            </w:r>
          </w:p>
        </w:tc>
        <w:tc>
          <w:tcPr>
            <w:tcW w:w="1276"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28</w:t>
            </w:r>
          </w:p>
        </w:tc>
        <w:tc>
          <w:tcPr>
            <w:tcW w:w="1417"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25.5</w:t>
            </w:r>
          </w:p>
        </w:tc>
        <w:tc>
          <w:tcPr>
            <w:tcW w:w="1701"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91.07%</w:t>
            </w:r>
          </w:p>
        </w:tc>
        <w:tc>
          <w:tcPr>
            <w:tcW w:w="1418" w:type="dxa"/>
            <w:vAlign w:val="center"/>
          </w:tcPr>
          <w:p w:rsidR="001F6A75" w:rsidRDefault="00713EBA">
            <w:pPr>
              <w:jc w:val="center"/>
              <w:rPr>
                <w:rFonts w:ascii="仿宋" w:eastAsia="仿宋" w:hAnsi="仿宋" w:cs="仿宋"/>
                <w:kern w:val="0"/>
                <w:sz w:val="28"/>
                <w:szCs w:val="28"/>
              </w:rPr>
            </w:pPr>
            <w:r>
              <w:rPr>
                <w:rFonts w:ascii="仿宋" w:eastAsia="仿宋" w:hAnsi="仿宋" w:cs="仿宋" w:hint="eastAsia"/>
                <w:kern w:val="0"/>
                <w:sz w:val="28"/>
                <w:szCs w:val="28"/>
              </w:rPr>
              <w:t>优</w:t>
            </w:r>
          </w:p>
        </w:tc>
      </w:tr>
      <w:tr w:rsidR="001F6A75">
        <w:trPr>
          <w:trHeight w:val="624"/>
          <w:jc w:val="center"/>
        </w:trPr>
        <w:tc>
          <w:tcPr>
            <w:tcW w:w="1418"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项目产出</w:t>
            </w:r>
          </w:p>
        </w:tc>
        <w:tc>
          <w:tcPr>
            <w:tcW w:w="992"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40%</w:t>
            </w:r>
          </w:p>
        </w:tc>
        <w:tc>
          <w:tcPr>
            <w:tcW w:w="1276"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40</w:t>
            </w:r>
          </w:p>
        </w:tc>
        <w:tc>
          <w:tcPr>
            <w:tcW w:w="1417"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38</w:t>
            </w:r>
          </w:p>
        </w:tc>
        <w:tc>
          <w:tcPr>
            <w:tcW w:w="1701"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95%</w:t>
            </w:r>
          </w:p>
        </w:tc>
        <w:tc>
          <w:tcPr>
            <w:tcW w:w="1418" w:type="dxa"/>
            <w:vAlign w:val="center"/>
          </w:tcPr>
          <w:p w:rsidR="001F6A75" w:rsidRDefault="00713EBA">
            <w:pPr>
              <w:jc w:val="center"/>
              <w:rPr>
                <w:rFonts w:ascii="仿宋" w:eastAsia="仿宋" w:hAnsi="仿宋" w:cs="仿宋"/>
                <w:kern w:val="0"/>
                <w:sz w:val="28"/>
                <w:szCs w:val="28"/>
              </w:rPr>
            </w:pPr>
            <w:r>
              <w:rPr>
                <w:rFonts w:ascii="仿宋" w:eastAsia="仿宋" w:hAnsi="仿宋" w:cs="仿宋" w:hint="eastAsia"/>
                <w:kern w:val="0"/>
                <w:sz w:val="28"/>
                <w:szCs w:val="28"/>
              </w:rPr>
              <w:t>优</w:t>
            </w:r>
          </w:p>
        </w:tc>
      </w:tr>
      <w:tr w:rsidR="001F6A75">
        <w:trPr>
          <w:trHeight w:val="624"/>
          <w:jc w:val="center"/>
        </w:trPr>
        <w:tc>
          <w:tcPr>
            <w:tcW w:w="1418"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lastRenderedPageBreak/>
              <w:t>项目效果</w:t>
            </w:r>
          </w:p>
        </w:tc>
        <w:tc>
          <w:tcPr>
            <w:tcW w:w="992"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20%</w:t>
            </w:r>
          </w:p>
        </w:tc>
        <w:tc>
          <w:tcPr>
            <w:tcW w:w="1276"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20</w:t>
            </w:r>
          </w:p>
        </w:tc>
        <w:tc>
          <w:tcPr>
            <w:tcW w:w="1417"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17</w:t>
            </w:r>
          </w:p>
        </w:tc>
        <w:tc>
          <w:tcPr>
            <w:tcW w:w="1701"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85%</w:t>
            </w:r>
          </w:p>
        </w:tc>
        <w:tc>
          <w:tcPr>
            <w:tcW w:w="1418" w:type="dxa"/>
            <w:vAlign w:val="center"/>
          </w:tcPr>
          <w:p w:rsidR="001F6A75" w:rsidRDefault="00713EBA">
            <w:pPr>
              <w:jc w:val="center"/>
              <w:rPr>
                <w:rFonts w:ascii="仿宋" w:eastAsia="仿宋" w:hAnsi="仿宋" w:cs="仿宋"/>
                <w:kern w:val="0"/>
                <w:sz w:val="28"/>
                <w:szCs w:val="28"/>
              </w:rPr>
            </w:pPr>
            <w:r>
              <w:rPr>
                <w:rFonts w:ascii="仿宋" w:eastAsia="仿宋" w:hAnsi="仿宋" w:cs="仿宋" w:hint="eastAsia"/>
                <w:kern w:val="0"/>
                <w:sz w:val="28"/>
                <w:szCs w:val="28"/>
              </w:rPr>
              <w:t>良</w:t>
            </w:r>
          </w:p>
        </w:tc>
      </w:tr>
      <w:tr w:rsidR="001F6A75">
        <w:trPr>
          <w:trHeight w:val="624"/>
          <w:jc w:val="center"/>
        </w:trPr>
        <w:tc>
          <w:tcPr>
            <w:tcW w:w="1418"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综合绩效</w:t>
            </w:r>
          </w:p>
        </w:tc>
        <w:tc>
          <w:tcPr>
            <w:tcW w:w="992"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100%</w:t>
            </w:r>
          </w:p>
        </w:tc>
        <w:tc>
          <w:tcPr>
            <w:tcW w:w="1276"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100</w:t>
            </w:r>
          </w:p>
        </w:tc>
        <w:tc>
          <w:tcPr>
            <w:tcW w:w="1417"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89.43</w:t>
            </w:r>
          </w:p>
        </w:tc>
        <w:tc>
          <w:tcPr>
            <w:tcW w:w="1701" w:type="dxa"/>
            <w:vAlign w:val="center"/>
          </w:tcPr>
          <w:p w:rsidR="001F6A75" w:rsidRDefault="00713EBA">
            <w:pPr>
              <w:widowControl/>
              <w:jc w:val="center"/>
              <w:rPr>
                <w:rFonts w:ascii="仿宋" w:eastAsia="仿宋" w:hAnsi="仿宋" w:cs="仿宋"/>
                <w:kern w:val="0"/>
                <w:sz w:val="28"/>
                <w:szCs w:val="28"/>
              </w:rPr>
            </w:pPr>
            <w:r>
              <w:rPr>
                <w:rFonts w:ascii="仿宋" w:eastAsia="仿宋" w:hAnsi="仿宋" w:cs="仿宋" w:hint="eastAsia"/>
                <w:kern w:val="0"/>
                <w:sz w:val="28"/>
                <w:szCs w:val="28"/>
              </w:rPr>
              <w:t>89.43%</w:t>
            </w:r>
          </w:p>
        </w:tc>
        <w:tc>
          <w:tcPr>
            <w:tcW w:w="1418" w:type="dxa"/>
            <w:vAlign w:val="center"/>
          </w:tcPr>
          <w:p w:rsidR="001F6A75" w:rsidRDefault="00713EBA">
            <w:pPr>
              <w:jc w:val="center"/>
              <w:rPr>
                <w:rFonts w:ascii="仿宋" w:eastAsia="仿宋" w:hAnsi="仿宋" w:cs="仿宋"/>
                <w:kern w:val="0"/>
                <w:sz w:val="28"/>
                <w:szCs w:val="28"/>
              </w:rPr>
            </w:pPr>
            <w:r>
              <w:rPr>
                <w:rFonts w:ascii="仿宋" w:eastAsia="仿宋" w:hAnsi="仿宋" w:cs="仿宋" w:hint="eastAsia"/>
                <w:kern w:val="0"/>
                <w:sz w:val="28"/>
                <w:szCs w:val="28"/>
              </w:rPr>
              <w:t>良</w:t>
            </w:r>
          </w:p>
        </w:tc>
      </w:tr>
    </w:tbl>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从投入来看，项目立项依据充分，立项申请符合规定，编制科学、实事求是，项目资金按计划投入到位，资金拨付及时</w:t>
      </w:r>
      <w:r>
        <w:rPr>
          <w:rFonts w:ascii="仿宋" w:eastAsia="仿宋" w:hAnsi="仿宋" w:hint="eastAsia"/>
          <w:sz w:val="28"/>
          <w:szCs w:val="28"/>
        </w:rPr>
        <w:t>。</w:t>
      </w:r>
    </w:p>
    <w:p w:rsidR="00BA753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过程来看，项目资金使用基本按照计划执行，符合国家财经法规和财务管理制度以及有关专项资管理办法的规定。项目资金拨付与使用有基本的审批流程和手续。项目管理所需人员、设备设施等条件落实到位，项目基本建设程序管理、项目工程质量管理健全且得到执行。</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从产出来看，项目产出良好，项目在预定时间内及时实施完成，质量达标率达到预期。</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从效果来看，项目的实施提升提升武汉市湖泊综合管理和公共服务水平、提升水务防汛监管及处置的能力、实现信息化成果共享与互通，对水文雨情实时监管，保护生态环境起到重要技术支撑。</w:t>
      </w:r>
    </w:p>
    <w:p w:rsidR="001F6A75" w:rsidRDefault="00713EBA">
      <w:pPr>
        <w:spacing w:line="520" w:lineRule="exact"/>
        <w:ind w:firstLineChars="200" w:firstLine="560"/>
        <w:outlineLvl w:val="2"/>
        <w:rPr>
          <w:rFonts w:ascii="仿宋" w:eastAsia="仿宋" w:hAnsi="仿宋"/>
          <w:bCs/>
          <w:sz w:val="28"/>
          <w:szCs w:val="28"/>
        </w:rPr>
      </w:pPr>
      <w:bookmarkStart w:id="33" w:name="_Toc517708024"/>
      <w:r>
        <w:rPr>
          <w:rFonts w:ascii="仿宋" w:eastAsia="仿宋" w:hAnsi="仿宋" w:hint="eastAsia"/>
          <w:bCs/>
          <w:sz w:val="28"/>
          <w:szCs w:val="28"/>
        </w:rPr>
        <w:t>2.主要结论</w:t>
      </w:r>
      <w:bookmarkEnd w:id="33"/>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本次项目绩效评价结果为“良”。项目符合城市发展政策，项目立项依据充分；财务和项目管理工作有效；工程建设完成情况、完成及时情况和质量达计划目标；项目社会效益、环境效益明显。项目实施加强了水务信息化建设，实现了信息化对水务生态环境的监管和保护作用。</w:t>
      </w:r>
    </w:p>
    <w:p w:rsidR="001F6A75" w:rsidRDefault="00713EBA">
      <w:pPr>
        <w:spacing w:line="520" w:lineRule="exact"/>
        <w:ind w:firstLineChars="200" w:firstLine="560"/>
        <w:outlineLvl w:val="0"/>
        <w:rPr>
          <w:rFonts w:ascii="黑体" w:eastAsia="黑体" w:hAnsi="黑体" w:cs="黑体"/>
          <w:sz w:val="28"/>
          <w:szCs w:val="28"/>
        </w:rPr>
      </w:pPr>
      <w:bookmarkStart w:id="34" w:name="_Toc511502547"/>
      <w:bookmarkStart w:id="35" w:name="_Toc517708025"/>
      <w:bookmarkStart w:id="36" w:name="_Toc7491"/>
      <w:r>
        <w:rPr>
          <w:rFonts w:ascii="黑体" w:eastAsia="黑体" w:hAnsi="黑体" w:cs="黑体" w:hint="eastAsia"/>
          <w:sz w:val="28"/>
          <w:szCs w:val="28"/>
        </w:rPr>
        <w:t>四、主要经验及做法、存在的问题</w:t>
      </w:r>
      <w:bookmarkEnd w:id="34"/>
      <w:bookmarkEnd w:id="35"/>
      <w:bookmarkEnd w:id="36"/>
    </w:p>
    <w:p w:rsidR="001F6A75" w:rsidRDefault="00713EBA">
      <w:pPr>
        <w:spacing w:line="520" w:lineRule="exact"/>
        <w:ind w:firstLineChars="200" w:firstLine="560"/>
        <w:outlineLvl w:val="1"/>
        <w:rPr>
          <w:rFonts w:ascii="仿宋" w:eastAsia="仿宋" w:hAnsi="仿宋"/>
          <w:bCs/>
          <w:sz w:val="28"/>
          <w:szCs w:val="28"/>
          <w:highlight w:val="yellow"/>
        </w:rPr>
      </w:pPr>
      <w:bookmarkStart w:id="37" w:name="_Toc517708026"/>
      <w:bookmarkStart w:id="38" w:name="_Toc511502548"/>
      <w:bookmarkStart w:id="39" w:name="_Toc590"/>
      <w:r>
        <w:rPr>
          <w:rFonts w:ascii="仿宋" w:eastAsia="仿宋" w:hAnsi="仿宋" w:hint="eastAsia"/>
          <w:bCs/>
          <w:sz w:val="28"/>
          <w:szCs w:val="28"/>
        </w:rPr>
        <w:t>（一）主要经验及做法</w:t>
      </w:r>
      <w:bookmarkEnd w:id="37"/>
      <w:bookmarkEnd w:id="38"/>
      <w:bookmarkEnd w:id="39"/>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1.水务通讯网络及设施谁被运维管理及时到位。</w:t>
      </w:r>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一是办公室网络运行维护良好，时刻监控网络、设施设备等运行状态，定时查看系统情况，出现问题及时抢护，定期对机房进行</w:t>
      </w:r>
      <w:r>
        <w:rPr>
          <w:rFonts w:ascii="仿宋" w:eastAsia="仿宋" w:hAnsi="仿宋" w:hint="eastAsia"/>
          <w:bCs/>
          <w:sz w:val="28"/>
          <w:szCs w:val="28"/>
        </w:rPr>
        <w:lastRenderedPageBreak/>
        <w:t>日常巡查维护，确保机房网络设备安全稳定运行；二是水利专网设备的维护，加强长江堤防光纤线路、网管的巡查维护，定期对歌曲光纤和线路进行巡查监管和指导，针对检查发现的问题及时协调维修。三是强化应急通信设备修护，建立完善应急通讯指挥车维护制度，定期开展系统调试，保障设备畅通，及时跟踪设备在防汛演习中的使用情况，及时对出现的问题进行整改。四是保障视频会议系统，定期对现有的水利专网和政务专网两套视频会议系统进行巡检及测试，保障防汛应急演练视频会议期间的工作顺利开展。</w:t>
      </w:r>
    </w:p>
    <w:p w:rsidR="001F6A75" w:rsidRDefault="00713EBA">
      <w:pPr>
        <w:spacing w:line="520" w:lineRule="exact"/>
        <w:ind w:left="700"/>
        <w:rPr>
          <w:rFonts w:ascii="仿宋" w:eastAsia="仿宋" w:hAnsi="仿宋"/>
          <w:bCs/>
          <w:sz w:val="28"/>
          <w:szCs w:val="28"/>
        </w:rPr>
      </w:pPr>
      <w:r>
        <w:rPr>
          <w:rFonts w:ascii="仿宋" w:eastAsia="仿宋" w:hAnsi="仿宋" w:hint="eastAsia"/>
          <w:bCs/>
          <w:sz w:val="28"/>
          <w:szCs w:val="28"/>
        </w:rPr>
        <w:t>2.信息化平台与应用系统保障有效可靠。</w:t>
      </w:r>
    </w:p>
    <w:p w:rsidR="001F6A75" w:rsidRDefault="00713EBA">
      <w:pPr>
        <w:ind w:firstLineChars="200" w:firstLine="560"/>
        <w:rPr>
          <w:rFonts w:ascii="仿宋" w:eastAsia="仿宋" w:hAnsi="仿宋"/>
          <w:bCs/>
          <w:sz w:val="28"/>
          <w:szCs w:val="28"/>
        </w:rPr>
      </w:pPr>
      <w:r>
        <w:rPr>
          <w:rFonts w:ascii="仿宋" w:eastAsia="仿宋" w:hAnsi="仿宋" w:hint="eastAsia"/>
          <w:bCs/>
          <w:sz w:val="28"/>
          <w:szCs w:val="28"/>
        </w:rPr>
        <w:t>一是建立完善巡检制度，对故障早发现，早排除；二是完善和扩充现有平台功能，对现有平台进行了功能扩充和修改完善，特别是水库管理系统按照用户需求进行了全新改版，及时收集用户反馈意见及时修改完善并及时发布；三是冗余备份关键关节数据，对内网门户和数据接收平台等部分关键环节进行了冗余备份，提高了平台的应急恢复能力。</w:t>
      </w:r>
    </w:p>
    <w:p w:rsidR="001F6A75" w:rsidRDefault="00713EBA">
      <w:pPr>
        <w:spacing w:line="520" w:lineRule="exact"/>
        <w:ind w:left="700"/>
        <w:rPr>
          <w:rFonts w:ascii="仿宋" w:eastAsia="仿宋" w:hAnsi="仿宋"/>
          <w:bCs/>
          <w:sz w:val="28"/>
          <w:szCs w:val="28"/>
        </w:rPr>
      </w:pPr>
      <w:r>
        <w:rPr>
          <w:rFonts w:ascii="仿宋" w:eastAsia="仿宋" w:hAnsi="仿宋" w:hint="eastAsia"/>
          <w:bCs/>
          <w:sz w:val="28"/>
          <w:szCs w:val="28"/>
        </w:rPr>
        <w:t>3.网络舆情监控响应及时。</w:t>
      </w:r>
    </w:p>
    <w:p w:rsidR="001F6A75" w:rsidRDefault="00713EBA">
      <w:pPr>
        <w:ind w:firstLineChars="200" w:firstLine="560"/>
        <w:rPr>
          <w:rFonts w:ascii="仿宋" w:eastAsia="仿宋" w:hAnsi="仿宋"/>
          <w:bCs/>
          <w:sz w:val="28"/>
          <w:szCs w:val="28"/>
        </w:rPr>
      </w:pPr>
      <w:r>
        <w:rPr>
          <w:rFonts w:ascii="仿宋" w:eastAsia="仿宋" w:hAnsi="仿宋" w:hint="eastAsia"/>
          <w:bCs/>
          <w:sz w:val="28"/>
          <w:szCs w:val="28"/>
        </w:rPr>
        <w:t>一是扎实开展税务局门户网站信息发布维护工作，全面及时放映全局中心工作开展情况；二是稳步开展水务政务微博管理，促进水务政务宣传报道工作；三是立足全局加强意识形态领域重要问题处置工作实际，在局办统一指导下，进一步强化涉水舆情监控，坚持每天上报网络舆情事件监测报告，防汛排渍守好涉水舆论的主战场。</w:t>
      </w:r>
    </w:p>
    <w:p w:rsidR="001F6A75" w:rsidRDefault="00713EBA">
      <w:pPr>
        <w:spacing w:line="520" w:lineRule="exact"/>
        <w:ind w:firstLineChars="200" w:firstLine="560"/>
        <w:outlineLvl w:val="1"/>
        <w:rPr>
          <w:rFonts w:ascii="仿宋" w:eastAsia="仿宋" w:hAnsi="仿宋"/>
          <w:bCs/>
          <w:sz w:val="28"/>
          <w:szCs w:val="28"/>
        </w:rPr>
      </w:pPr>
      <w:bookmarkStart w:id="40" w:name="_Toc517708027"/>
      <w:r>
        <w:rPr>
          <w:rFonts w:ascii="仿宋" w:eastAsia="仿宋" w:hAnsi="仿宋" w:hint="eastAsia"/>
          <w:bCs/>
          <w:sz w:val="28"/>
          <w:szCs w:val="28"/>
        </w:rPr>
        <w:t>（二）主要问题</w:t>
      </w:r>
      <w:bookmarkEnd w:id="40"/>
    </w:p>
    <w:p w:rsidR="001F6A75" w:rsidRDefault="00713EBA" w:rsidP="00BA7535">
      <w:pPr>
        <w:spacing w:line="520" w:lineRule="exact"/>
        <w:ind w:firstLine="640"/>
        <w:rPr>
          <w:rFonts w:ascii="仿宋" w:eastAsia="仿宋" w:hAnsi="仿宋"/>
          <w:bCs/>
          <w:sz w:val="28"/>
          <w:szCs w:val="28"/>
        </w:rPr>
      </w:pPr>
      <w:r>
        <w:rPr>
          <w:rFonts w:ascii="仿宋" w:eastAsia="仿宋" w:hAnsi="仿宋" w:hint="eastAsia"/>
          <w:sz w:val="28"/>
          <w:szCs w:val="28"/>
        </w:rPr>
        <w:t>项目测算依据及说明不具</w:t>
      </w:r>
      <w:r w:rsidR="00BA7535">
        <w:rPr>
          <w:rFonts w:ascii="仿宋" w:eastAsia="仿宋" w:hAnsi="仿宋" w:hint="eastAsia"/>
          <w:sz w:val="28"/>
          <w:szCs w:val="28"/>
        </w:rPr>
        <w:t>体，未细化测算项目支出的具体使用</w:t>
      </w:r>
      <w:r w:rsidR="00BA7535">
        <w:rPr>
          <w:rFonts w:ascii="仿宋" w:eastAsia="仿宋" w:hAnsi="仿宋" w:hint="eastAsia"/>
          <w:sz w:val="28"/>
          <w:szCs w:val="28"/>
        </w:rPr>
        <w:lastRenderedPageBreak/>
        <w:t>方向。</w:t>
      </w:r>
    </w:p>
    <w:p w:rsidR="001F6A75" w:rsidRDefault="00713EBA">
      <w:pPr>
        <w:spacing w:line="520" w:lineRule="exact"/>
        <w:ind w:firstLineChars="200" w:firstLine="560"/>
        <w:outlineLvl w:val="0"/>
        <w:rPr>
          <w:rFonts w:ascii="黑体" w:eastAsia="黑体" w:hAnsi="黑体" w:cs="黑体"/>
          <w:sz w:val="28"/>
          <w:szCs w:val="28"/>
        </w:rPr>
      </w:pPr>
      <w:bookmarkStart w:id="41" w:name="_Toc517708028"/>
      <w:bookmarkStart w:id="42" w:name="_Toc511502550"/>
      <w:bookmarkStart w:id="43" w:name="_Toc31947"/>
      <w:r>
        <w:rPr>
          <w:rFonts w:ascii="黑体" w:eastAsia="黑体" w:hAnsi="黑体" w:cs="黑体" w:hint="eastAsia"/>
          <w:sz w:val="28"/>
          <w:szCs w:val="28"/>
        </w:rPr>
        <w:t>五、建议</w:t>
      </w:r>
      <w:bookmarkEnd w:id="41"/>
      <w:bookmarkEnd w:id="42"/>
    </w:p>
    <w:p w:rsidR="001F6A75" w:rsidRDefault="00713EBA">
      <w:pPr>
        <w:spacing w:line="520" w:lineRule="exact"/>
        <w:ind w:firstLineChars="200" w:firstLine="560"/>
        <w:rPr>
          <w:rFonts w:ascii="仿宋" w:eastAsia="仿宋" w:hAnsi="仿宋"/>
          <w:sz w:val="28"/>
          <w:szCs w:val="28"/>
        </w:rPr>
      </w:pPr>
      <w:r>
        <w:rPr>
          <w:rFonts w:ascii="仿宋" w:eastAsia="仿宋" w:hAnsi="仿宋" w:hint="eastAsia"/>
          <w:sz w:val="28"/>
          <w:szCs w:val="28"/>
        </w:rPr>
        <w:t>1.投入方面</w:t>
      </w:r>
      <w:bookmarkEnd w:id="43"/>
    </w:p>
    <w:p w:rsidR="001F6A75" w:rsidRDefault="00713EB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加强对《预算法》、《会计法》等法律法规的学习宣传力度，落实部门预算编制的主体责任，提高部门工作人员的预算法定意识、资金绩效意识、花钱责任意识，明确部门对预算编制的真实性、准确性、完整性负有的法定责任，增强机关工作人员的预算编制参与度，准确、合理编制项目绩效目标。</w:t>
      </w:r>
    </w:p>
    <w:p w:rsidR="001F6A75" w:rsidRDefault="00713EBA">
      <w:pPr>
        <w:ind w:firstLineChars="200" w:firstLine="560"/>
        <w:rPr>
          <w:rFonts w:ascii="仿宋" w:eastAsia="仿宋" w:hAnsi="仿宋"/>
          <w:bCs/>
          <w:sz w:val="28"/>
          <w:szCs w:val="28"/>
        </w:rPr>
      </w:pPr>
      <w:r>
        <w:rPr>
          <w:rFonts w:ascii="仿宋" w:eastAsia="仿宋" w:hAnsi="仿宋" w:hint="eastAsia"/>
          <w:bCs/>
          <w:sz w:val="28"/>
          <w:szCs w:val="28"/>
        </w:rPr>
        <w:t>3.项目管理方面</w:t>
      </w:r>
    </w:p>
    <w:p w:rsidR="001F6A75" w:rsidRDefault="00713EBA">
      <w:pPr>
        <w:ind w:firstLineChars="200" w:firstLine="560"/>
        <w:rPr>
          <w:rFonts w:ascii="仿宋" w:eastAsia="仿宋" w:hAnsi="仿宋"/>
          <w:bCs/>
          <w:sz w:val="28"/>
          <w:szCs w:val="28"/>
        </w:rPr>
      </w:pPr>
      <w:r>
        <w:rPr>
          <w:rFonts w:ascii="仿宋" w:eastAsia="仿宋" w:hAnsi="仿宋" w:hint="eastAsia"/>
          <w:bCs/>
          <w:sz w:val="28"/>
          <w:szCs w:val="28"/>
        </w:rPr>
        <w:t>加强项目档案管理，及时对验收项目档案进行归档整理，对项目成果进行统一汇总。</w:t>
      </w:r>
    </w:p>
    <w:p w:rsidR="001F5C48" w:rsidRDefault="001F5C48" w:rsidP="001F5C48">
      <w:pPr>
        <w:spacing w:line="520" w:lineRule="exact"/>
        <w:ind w:firstLineChars="200" w:firstLine="560"/>
        <w:outlineLvl w:val="0"/>
        <w:rPr>
          <w:rFonts w:ascii="黑体" w:eastAsia="黑体" w:hAnsi="黑体" w:cs="黑体"/>
          <w:sz w:val="28"/>
          <w:szCs w:val="28"/>
        </w:rPr>
      </w:pPr>
      <w:bookmarkStart w:id="44" w:name="_Toc22970"/>
      <w:bookmarkStart w:id="45" w:name="_Toc517708029"/>
      <w:bookmarkStart w:id="46" w:name="_Toc511502553"/>
      <w:r>
        <w:rPr>
          <w:rFonts w:ascii="黑体" w:eastAsia="黑体" w:hAnsi="黑体" w:cs="黑体" w:hint="eastAsia"/>
          <w:sz w:val="28"/>
          <w:szCs w:val="28"/>
        </w:rPr>
        <w:t>六、其他需说明的问题</w:t>
      </w:r>
      <w:bookmarkEnd w:id="44"/>
      <w:bookmarkEnd w:id="45"/>
      <w:bookmarkEnd w:id="46"/>
    </w:p>
    <w:p w:rsidR="001F5C48" w:rsidRDefault="001F5C48" w:rsidP="001F5C48">
      <w:pPr>
        <w:spacing w:line="520" w:lineRule="exact"/>
        <w:ind w:firstLineChars="200" w:firstLine="560"/>
        <w:rPr>
          <w:rFonts w:ascii="仿宋" w:eastAsia="仿宋" w:hAnsi="仿宋" w:hint="eastAsia"/>
          <w:sz w:val="28"/>
          <w:szCs w:val="28"/>
        </w:rPr>
      </w:pPr>
      <w:r>
        <w:rPr>
          <w:rFonts w:ascii="仿宋" w:eastAsia="仿宋" w:hAnsi="仿宋" w:hint="eastAsia"/>
          <w:sz w:val="28"/>
          <w:szCs w:val="28"/>
        </w:rPr>
        <w:t>部分项目绩效很难在短期内体现出来，一是项目效益是长期的过程，并非所有的投入当年就能见效，很难在短期内见到的效果；二是项目的效益难以准确定量衡量。</w:t>
      </w:r>
    </w:p>
    <w:p w:rsidR="001F5C48" w:rsidRPr="001F5C48" w:rsidRDefault="001F5C48">
      <w:pPr>
        <w:ind w:firstLineChars="200" w:firstLine="560"/>
        <w:rPr>
          <w:rFonts w:ascii="仿宋" w:eastAsia="仿宋" w:hAnsi="仿宋" w:hint="eastAsia"/>
          <w:bCs/>
          <w:sz w:val="28"/>
          <w:szCs w:val="28"/>
        </w:rPr>
      </w:pPr>
      <w:bookmarkStart w:id="47" w:name="_GoBack"/>
      <w:bookmarkEnd w:id="47"/>
    </w:p>
    <w:p w:rsidR="00BA7535" w:rsidRDefault="00BA7535">
      <w:pPr>
        <w:ind w:firstLineChars="200" w:firstLine="560"/>
        <w:rPr>
          <w:rFonts w:ascii="仿宋" w:eastAsia="仿宋" w:hAnsi="仿宋"/>
          <w:bCs/>
          <w:sz w:val="28"/>
          <w:szCs w:val="28"/>
        </w:rPr>
      </w:pPr>
    </w:p>
    <w:p w:rsidR="001F6A75" w:rsidRDefault="00713EBA">
      <w:pPr>
        <w:ind w:firstLineChars="200" w:firstLine="560"/>
        <w:rPr>
          <w:sz w:val="28"/>
          <w:szCs w:val="28"/>
        </w:rPr>
      </w:pPr>
      <w:r>
        <w:rPr>
          <w:rFonts w:ascii="仿宋" w:eastAsia="仿宋" w:hAnsi="仿宋" w:hint="eastAsia"/>
          <w:sz w:val="28"/>
          <w:szCs w:val="28"/>
        </w:rPr>
        <w:t xml:space="preserve">                        </w:t>
      </w:r>
      <w:r w:rsidR="001F5C48">
        <w:rPr>
          <w:rFonts w:ascii="仿宋" w:eastAsia="仿宋" w:hAnsi="仿宋" w:hint="eastAsia"/>
          <w:sz w:val="28"/>
          <w:szCs w:val="28"/>
        </w:rPr>
        <w:t xml:space="preserve">        </w:t>
      </w:r>
      <w:r>
        <w:rPr>
          <w:rFonts w:ascii="仿宋" w:eastAsia="仿宋" w:hAnsi="仿宋" w:hint="eastAsia"/>
          <w:sz w:val="28"/>
          <w:szCs w:val="28"/>
        </w:rPr>
        <w:t xml:space="preserve"> 二0一八年七月十五日</w:t>
      </w:r>
    </w:p>
    <w:p w:rsidR="001F6A75" w:rsidRDefault="001F6A75">
      <w:pPr>
        <w:spacing w:line="520" w:lineRule="exact"/>
        <w:ind w:firstLineChars="200" w:firstLine="560"/>
        <w:outlineLvl w:val="1"/>
        <w:rPr>
          <w:rFonts w:ascii="仿宋" w:eastAsia="仿宋" w:hAnsi="仿宋"/>
          <w:bCs/>
          <w:sz w:val="28"/>
          <w:szCs w:val="28"/>
        </w:rPr>
      </w:pPr>
    </w:p>
    <w:p w:rsidR="001F6A75" w:rsidRDefault="001F6A75">
      <w:pPr>
        <w:rPr>
          <w:sz w:val="28"/>
          <w:szCs w:val="28"/>
        </w:rPr>
      </w:pPr>
    </w:p>
    <w:sectPr w:rsidR="001F6A75">
      <w:footerReference w:type="default" r:id="rId9"/>
      <w:pgSz w:w="11850" w:h="16783"/>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7F3" w:rsidRDefault="00CF67F3">
      <w:r>
        <w:separator/>
      </w:r>
    </w:p>
  </w:endnote>
  <w:endnote w:type="continuationSeparator" w:id="0">
    <w:p w:rsidR="00CF67F3" w:rsidRDefault="00CF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Semilight">
    <w:altName w:val="Arial Unicode MS"/>
    <w:charset w:val="86"/>
    <w:family w:val="swiss"/>
    <w:pitch w:val="default"/>
    <w:sig w:usb0="00000000" w:usb1="00000000" w:usb2="00000012" w:usb3="00000000" w:csb0="003E01BD" w:csb1="00000000"/>
  </w:font>
  <w:font w:name="方正仿宋_GBK">
    <w:altName w:val="Arial Unicode MS"/>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A75" w:rsidRDefault="001F6A7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A75" w:rsidRDefault="00713EBA">
    <w:pPr>
      <w:pStyle w:val="a3"/>
      <w:jc w:val="center"/>
    </w:pPr>
    <w:r>
      <w:fldChar w:fldCharType="begin"/>
    </w:r>
    <w:r>
      <w:instrText>PAGE   \* MERGEFORMAT</w:instrText>
    </w:r>
    <w:r>
      <w:fldChar w:fldCharType="separate"/>
    </w:r>
    <w:r w:rsidR="001F5C48" w:rsidRPr="001F5C48">
      <w:rPr>
        <w:noProof/>
        <w:lang w:val="zh-CN"/>
      </w:rPr>
      <w:t>15</w:t>
    </w:r>
    <w:r>
      <w:fldChar w:fldCharType="end"/>
    </w:r>
  </w:p>
  <w:p w:rsidR="001F6A75" w:rsidRDefault="001F6A7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7F3" w:rsidRDefault="00CF67F3">
      <w:r>
        <w:separator/>
      </w:r>
    </w:p>
  </w:footnote>
  <w:footnote w:type="continuationSeparator" w:id="0">
    <w:p w:rsidR="00CF67F3" w:rsidRDefault="00CF6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9BBFDF"/>
    <w:multiLevelType w:val="singleLevel"/>
    <w:tmpl w:val="D69BBFDF"/>
    <w:lvl w:ilvl="0">
      <w:start w:val="1"/>
      <w:numFmt w:val="decimal"/>
      <w:suff w:val="nothing"/>
      <w:lvlText w:val="（%1）"/>
      <w:lvlJc w:val="left"/>
    </w:lvl>
  </w:abstractNum>
  <w:abstractNum w:abstractNumId="1" w15:restartNumberingAfterBreak="0">
    <w:nsid w:val="FCA1E752"/>
    <w:multiLevelType w:val="singleLevel"/>
    <w:tmpl w:val="FCA1E752"/>
    <w:lvl w:ilvl="0">
      <w:start w:val="8"/>
      <w:numFmt w:val="decimal"/>
      <w:suff w:val="nothing"/>
      <w:lvlText w:val="（%1）"/>
      <w:lvlJc w:val="left"/>
    </w:lvl>
  </w:abstractNum>
  <w:abstractNum w:abstractNumId="2" w15:restartNumberingAfterBreak="0">
    <w:nsid w:val="4AB054D2"/>
    <w:multiLevelType w:val="singleLevel"/>
    <w:tmpl w:val="4AB054D2"/>
    <w:lvl w:ilvl="0">
      <w:start w:val="4"/>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924B0"/>
    <w:rsid w:val="000E016E"/>
    <w:rsid w:val="000F1C74"/>
    <w:rsid w:val="000F54BB"/>
    <w:rsid w:val="00101AF6"/>
    <w:rsid w:val="00156362"/>
    <w:rsid w:val="001E5898"/>
    <w:rsid w:val="001F5C48"/>
    <w:rsid w:val="001F6A68"/>
    <w:rsid w:val="001F6A75"/>
    <w:rsid w:val="002469B1"/>
    <w:rsid w:val="002D0E32"/>
    <w:rsid w:val="00411F4F"/>
    <w:rsid w:val="00423797"/>
    <w:rsid w:val="00427412"/>
    <w:rsid w:val="00462CE4"/>
    <w:rsid w:val="00473879"/>
    <w:rsid w:val="004A2A1F"/>
    <w:rsid w:val="004C58FC"/>
    <w:rsid w:val="0053051C"/>
    <w:rsid w:val="0053738A"/>
    <w:rsid w:val="005814A7"/>
    <w:rsid w:val="005F2B9A"/>
    <w:rsid w:val="00627ECB"/>
    <w:rsid w:val="00630623"/>
    <w:rsid w:val="00640F88"/>
    <w:rsid w:val="006F7839"/>
    <w:rsid w:val="00710833"/>
    <w:rsid w:val="00713EBA"/>
    <w:rsid w:val="00722FA7"/>
    <w:rsid w:val="007D2490"/>
    <w:rsid w:val="0083180C"/>
    <w:rsid w:val="008717E7"/>
    <w:rsid w:val="009020F4"/>
    <w:rsid w:val="009D2601"/>
    <w:rsid w:val="00A26A19"/>
    <w:rsid w:val="00A402C6"/>
    <w:rsid w:val="00A47D3D"/>
    <w:rsid w:val="00A76C71"/>
    <w:rsid w:val="00AD2DE4"/>
    <w:rsid w:val="00AE4815"/>
    <w:rsid w:val="00AF549B"/>
    <w:rsid w:val="00B0116C"/>
    <w:rsid w:val="00B050E9"/>
    <w:rsid w:val="00B453CB"/>
    <w:rsid w:val="00B55C63"/>
    <w:rsid w:val="00B55F41"/>
    <w:rsid w:val="00BA7535"/>
    <w:rsid w:val="00BC6704"/>
    <w:rsid w:val="00C401E5"/>
    <w:rsid w:val="00C83B2C"/>
    <w:rsid w:val="00CE4C59"/>
    <w:rsid w:val="00CF67F3"/>
    <w:rsid w:val="00D01713"/>
    <w:rsid w:val="00D26A36"/>
    <w:rsid w:val="00D27179"/>
    <w:rsid w:val="00D55825"/>
    <w:rsid w:val="00DE15AE"/>
    <w:rsid w:val="00E45386"/>
    <w:rsid w:val="00EC6281"/>
    <w:rsid w:val="00ED3866"/>
    <w:rsid w:val="00EF1C6B"/>
    <w:rsid w:val="00F243E2"/>
    <w:rsid w:val="00F74552"/>
    <w:rsid w:val="00F85758"/>
    <w:rsid w:val="00FE50AE"/>
    <w:rsid w:val="011619D5"/>
    <w:rsid w:val="024977BB"/>
    <w:rsid w:val="04F362FC"/>
    <w:rsid w:val="05DF0C97"/>
    <w:rsid w:val="07427A65"/>
    <w:rsid w:val="08255181"/>
    <w:rsid w:val="08F54415"/>
    <w:rsid w:val="092513DB"/>
    <w:rsid w:val="094012E4"/>
    <w:rsid w:val="0BAC1EC3"/>
    <w:rsid w:val="0BBC5145"/>
    <w:rsid w:val="0BF5512F"/>
    <w:rsid w:val="0C0617A3"/>
    <w:rsid w:val="0D08548C"/>
    <w:rsid w:val="112253B8"/>
    <w:rsid w:val="11502F87"/>
    <w:rsid w:val="11B0026D"/>
    <w:rsid w:val="12515C87"/>
    <w:rsid w:val="14592BF5"/>
    <w:rsid w:val="15850CA3"/>
    <w:rsid w:val="15F479EB"/>
    <w:rsid w:val="16291CDF"/>
    <w:rsid w:val="17032D94"/>
    <w:rsid w:val="181E065C"/>
    <w:rsid w:val="1A365119"/>
    <w:rsid w:val="1A3F1B4F"/>
    <w:rsid w:val="1A3F2E17"/>
    <w:rsid w:val="1B037C30"/>
    <w:rsid w:val="1B4A4ED5"/>
    <w:rsid w:val="1C906F25"/>
    <w:rsid w:val="1E660C08"/>
    <w:rsid w:val="203E6FA4"/>
    <w:rsid w:val="2106178E"/>
    <w:rsid w:val="21BF7F6B"/>
    <w:rsid w:val="22B465EB"/>
    <w:rsid w:val="232A40C1"/>
    <w:rsid w:val="26403A28"/>
    <w:rsid w:val="27387775"/>
    <w:rsid w:val="28317ACF"/>
    <w:rsid w:val="291F14E2"/>
    <w:rsid w:val="2A2777FA"/>
    <w:rsid w:val="2B2A72A3"/>
    <w:rsid w:val="2DA13818"/>
    <w:rsid w:val="2EF714FF"/>
    <w:rsid w:val="2F5739E0"/>
    <w:rsid w:val="31BB42DC"/>
    <w:rsid w:val="346053E0"/>
    <w:rsid w:val="34910A7F"/>
    <w:rsid w:val="378E71C4"/>
    <w:rsid w:val="37A82FD8"/>
    <w:rsid w:val="37DB4908"/>
    <w:rsid w:val="37DF3323"/>
    <w:rsid w:val="38AA2178"/>
    <w:rsid w:val="3A3B3B69"/>
    <w:rsid w:val="3B4F5884"/>
    <w:rsid w:val="3B6B0524"/>
    <w:rsid w:val="3CEF7938"/>
    <w:rsid w:val="3EC12C56"/>
    <w:rsid w:val="3FF4596F"/>
    <w:rsid w:val="406A787C"/>
    <w:rsid w:val="41125F84"/>
    <w:rsid w:val="41A77903"/>
    <w:rsid w:val="45912B36"/>
    <w:rsid w:val="469E7D8F"/>
    <w:rsid w:val="478D3DE3"/>
    <w:rsid w:val="47C63392"/>
    <w:rsid w:val="48CA4E98"/>
    <w:rsid w:val="491362C8"/>
    <w:rsid w:val="49437007"/>
    <w:rsid w:val="49EE6A34"/>
    <w:rsid w:val="4B772C52"/>
    <w:rsid w:val="4C6B7847"/>
    <w:rsid w:val="4CAF50DC"/>
    <w:rsid w:val="4E054A3A"/>
    <w:rsid w:val="4E163FD2"/>
    <w:rsid w:val="4F9E5A56"/>
    <w:rsid w:val="50454210"/>
    <w:rsid w:val="5061685E"/>
    <w:rsid w:val="52BF2617"/>
    <w:rsid w:val="53B701E2"/>
    <w:rsid w:val="53D14E65"/>
    <w:rsid w:val="57B02694"/>
    <w:rsid w:val="57BF4437"/>
    <w:rsid w:val="5AA44C18"/>
    <w:rsid w:val="5B1F46C4"/>
    <w:rsid w:val="5C91170E"/>
    <w:rsid w:val="5DCB7161"/>
    <w:rsid w:val="5F2B4604"/>
    <w:rsid w:val="5FAD482D"/>
    <w:rsid w:val="60C056D5"/>
    <w:rsid w:val="61FC2E74"/>
    <w:rsid w:val="636742BA"/>
    <w:rsid w:val="63D12B27"/>
    <w:rsid w:val="64BB71DA"/>
    <w:rsid w:val="64FA052D"/>
    <w:rsid w:val="6589703A"/>
    <w:rsid w:val="663D37A6"/>
    <w:rsid w:val="66BF2E51"/>
    <w:rsid w:val="675B5AB9"/>
    <w:rsid w:val="683B6044"/>
    <w:rsid w:val="6B146E2D"/>
    <w:rsid w:val="6C2E5A3D"/>
    <w:rsid w:val="6F041F67"/>
    <w:rsid w:val="6F732F20"/>
    <w:rsid w:val="6F9047AB"/>
    <w:rsid w:val="70D87661"/>
    <w:rsid w:val="722D7391"/>
    <w:rsid w:val="72DE7EE6"/>
    <w:rsid w:val="732E1A61"/>
    <w:rsid w:val="73986528"/>
    <w:rsid w:val="75647FCD"/>
    <w:rsid w:val="75AC5602"/>
    <w:rsid w:val="75CE698D"/>
    <w:rsid w:val="766846A9"/>
    <w:rsid w:val="766B1F5D"/>
    <w:rsid w:val="77445955"/>
    <w:rsid w:val="77D12C2E"/>
    <w:rsid w:val="77DB16D4"/>
    <w:rsid w:val="786E5426"/>
    <w:rsid w:val="78EA3B68"/>
    <w:rsid w:val="79C62A8B"/>
    <w:rsid w:val="7B470FC6"/>
    <w:rsid w:val="7B533FAA"/>
    <w:rsid w:val="7B5C3842"/>
    <w:rsid w:val="7BD73647"/>
    <w:rsid w:val="7BEA0549"/>
    <w:rsid w:val="7CEB754A"/>
    <w:rsid w:val="7E9D4A56"/>
    <w:rsid w:val="7F1C7F7D"/>
    <w:rsid w:val="7F79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E706AA4"/>
  <w15:docId w15:val="{C8581EAF-4A37-4B6F-8023-2D8611D0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qFormat/>
    <w:pPr>
      <w:ind w:leftChars="400" w:left="840"/>
    </w:pPr>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style>
  <w:style w:type="paragraph" w:styleId="2">
    <w:name w:val="toc 2"/>
    <w:basedOn w:val="a"/>
    <w:next w:val="a"/>
    <w:uiPriority w:val="39"/>
    <w:qFormat/>
    <w:pPr>
      <w:ind w:leftChars="200" w:left="420"/>
    </w:pPr>
  </w:style>
  <w:style w:type="character" w:styleId="a5">
    <w:name w:val="Hyperlink"/>
    <w:basedOn w:val="a0"/>
    <w:uiPriority w:val="99"/>
    <w:unhideWhenUsed/>
    <w:qFormat/>
    <w:rPr>
      <w:color w:val="0563C1" w:themeColor="hyperlink"/>
      <w:u w:val="single"/>
    </w:rPr>
  </w:style>
  <w:style w:type="paragraph" w:customStyle="1" w:styleId="lxl">
    <w:name w:val="lxl"/>
    <w:basedOn w:val="a"/>
    <w:qFormat/>
    <w:pPr>
      <w:widowControl/>
      <w:spacing w:line="560" w:lineRule="exact"/>
    </w:pPr>
    <w:rPr>
      <w:rFonts w:ascii="Malgun Gothic Semilight" w:eastAsia="方正仿宋_GBK" w:hAnsi="Malgun Gothic Semilight"/>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5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1290</Words>
  <Characters>7357</Characters>
  <Application>Microsoft Office Word</Application>
  <DocSecurity>0</DocSecurity>
  <Lines>61</Lines>
  <Paragraphs>17</Paragraphs>
  <ScaleCrop>false</ScaleCrop>
  <Company>Microsoft</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01</cp:lastModifiedBy>
  <cp:revision>28</cp:revision>
  <dcterms:created xsi:type="dcterms:W3CDTF">2014-10-29T12:08:00Z</dcterms:created>
  <dcterms:modified xsi:type="dcterms:W3CDTF">2018-09-29T03:52:00Z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