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草案说明</w:t>
      </w:r>
      <w:bookmarkStart w:id="0" w:name="_GoBack"/>
      <w:bookmarkEnd w:id="0"/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为深入贯彻习近平生态文明思想，持续打好碧水保卫战，推进长江高水平保护守护，2022年5月2日，由湖北省委副书记，省政府省长王忠林签署《第6号省河湖长令》，开展碧水保卫战专项整治行动，奋力推进我省河湖治理保护取得新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baseline"/>
        <w:rPr>
          <w:rStyle w:val="5"/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为落实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第6号省河湖长令，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根据地方实际，由省委常委、市委书记，市第一总河湖长郭元强签发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武汉市贯彻落实第6号省河湖长令的九条措施》，开展妨碍河道行洪突出问题排查整治、水域岸线管控专项提升、河道非法采砂专项整治、水库除险加固和运行管护提升、入河排污溯源减量专项整治、长江禁捕退捕“回头看”、河湖生态流量泄放提升、水环境系统治理、基层河湖长赋权赋能行动等九条措施，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积极推进实施碧水保卫战“专项整治行动”。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YTNjZGQ5MzBhNzgwMjg3MWQ0NjYzNjg0MjUwZGMifQ=="/>
  </w:docVars>
  <w:rsids>
    <w:rsidRoot w:val="5E6D4BDA"/>
    <w:rsid w:val="004021B4"/>
    <w:rsid w:val="0DE27443"/>
    <w:rsid w:val="5E6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黑体"/>
      <w:sz w:val="28"/>
    </w:rPr>
  </w:style>
  <w:style w:type="character" w:customStyle="1" w:styleId="5">
    <w:name w:val="NormalCharacter"/>
    <w:semiHidden/>
    <w:qFormat/>
    <w:uiPriority w:val="0"/>
    <w:rPr>
      <w:rFonts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武汉市水务局</Company>
  <Pages>1</Pages>
  <Words>307</Words>
  <Characters>310</Characters>
  <Lines>0</Lines>
  <Paragraphs>0</Paragraphs>
  <TotalTime>49</TotalTime>
  <ScaleCrop>false</ScaleCrop>
  <LinksUpToDate>false</LinksUpToDate>
  <CharactersWithSpaces>312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2022-08-24T03:01:00Z</dcterms:created>
  <dc:creator>Administrator</dc:creator>
  <cp:lastModifiedBy>凛冬寒风</cp:lastModifiedBy>
  <dcterms:modified xsi:type="dcterms:W3CDTF">2022-08-26T01:57:55Z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FEFABBC656554B118D8C737CF739D358</vt:lpwstr>
  </property>
</Properties>
</file>